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318C" w14:textId="77777777" w:rsidR="00E71619" w:rsidRPr="001E1A0D" w:rsidRDefault="00E71619" w:rsidP="00E71619">
      <w:pPr>
        <w:spacing w:after="200" w:line="276" w:lineRule="auto"/>
        <w:jc w:val="both"/>
        <w:rPr>
          <w:rFonts w:ascii="Calibri" w:eastAsia="Calibri" w:hAnsi="Calibri"/>
          <w:caps/>
          <w:sz w:val="22"/>
          <w:szCs w:val="22"/>
          <w:lang w:eastAsia="en-US"/>
        </w:rPr>
      </w:pPr>
      <w:bookmarkStart w:id="0" w:name="_Toc97720345"/>
      <w:r w:rsidRPr="001E1A0D">
        <w:rPr>
          <w:rFonts w:ascii="Calibri" w:eastAsia="Calibri" w:hAnsi="Calibri" w:cs="Arial"/>
          <w:b/>
          <w:caps/>
          <w:noProof/>
          <w:color w:val="54A738"/>
          <w:sz w:val="60"/>
          <w:szCs w:val="60"/>
        </w:rPr>
        <w:drawing>
          <wp:anchor distT="0" distB="0" distL="114300" distR="114300" simplePos="0" relativeHeight="251661312" behindDoc="1" locked="0" layoutInCell="1" allowOverlap="1" wp14:anchorId="26F608EB" wp14:editId="47C0EB93">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070EB7CE" w14:textId="77777777" w:rsidR="00E71619" w:rsidRPr="001E1A0D" w:rsidRDefault="00E71619" w:rsidP="00E71619">
      <w:pPr>
        <w:spacing w:after="200" w:line="276" w:lineRule="auto"/>
        <w:jc w:val="both"/>
        <w:rPr>
          <w:rFonts w:ascii="Calibri" w:eastAsia="Calibri" w:hAnsi="Calibri"/>
          <w:caps/>
          <w:sz w:val="22"/>
          <w:szCs w:val="22"/>
          <w:lang w:eastAsia="en-US"/>
        </w:rPr>
      </w:pPr>
    </w:p>
    <w:p w14:paraId="5AAE1B8C" w14:textId="77777777" w:rsidR="00E71619" w:rsidRPr="001E1A0D" w:rsidRDefault="00E71619" w:rsidP="00E71619">
      <w:pPr>
        <w:spacing w:after="200" w:line="276" w:lineRule="auto"/>
        <w:jc w:val="both"/>
        <w:rPr>
          <w:rFonts w:ascii="Calibri" w:eastAsia="Calibri" w:hAnsi="Calibri"/>
          <w:caps/>
          <w:sz w:val="22"/>
          <w:szCs w:val="22"/>
          <w:lang w:eastAsia="en-US"/>
        </w:rPr>
      </w:pPr>
    </w:p>
    <w:p w14:paraId="6463AF29"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00000"/>
          <w:sz w:val="40"/>
          <w:szCs w:val="60"/>
          <w:lang w:eastAsia="ja-JP"/>
        </w:rPr>
      </w:pPr>
    </w:p>
    <w:p w14:paraId="5F43A7E9"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00000"/>
          <w:sz w:val="40"/>
          <w:szCs w:val="60"/>
          <w:lang w:eastAsia="ja-JP"/>
        </w:rPr>
      </w:pPr>
    </w:p>
    <w:p w14:paraId="418D84B0"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00000"/>
          <w:sz w:val="40"/>
          <w:szCs w:val="60"/>
          <w:lang w:eastAsia="ja-JP"/>
        </w:rPr>
      </w:pPr>
    </w:p>
    <w:p w14:paraId="6D28351E" w14:textId="77777777" w:rsidR="00E71619" w:rsidRPr="001E1A0D" w:rsidRDefault="00E71619" w:rsidP="00E71619">
      <w:pPr>
        <w:spacing w:before="480" w:after="200"/>
        <w:jc w:val="center"/>
        <w:rPr>
          <w:rFonts w:ascii="Arial" w:eastAsia="Calibri" w:hAnsi="Arial" w:cs="Arial"/>
          <w:b/>
          <w:bCs/>
          <w:color w:val="0B5294"/>
          <w:sz w:val="36"/>
          <w:szCs w:val="36"/>
          <w:lang w:eastAsia="en-US"/>
        </w:rPr>
      </w:pPr>
    </w:p>
    <w:p w14:paraId="3A8AB04B" w14:textId="77777777" w:rsidR="00E71619" w:rsidRPr="001E1A0D" w:rsidRDefault="00E71619" w:rsidP="00E71619">
      <w:pPr>
        <w:jc w:val="center"/>
        <w:rPr>
          <w:rFonts w:ascii="Arial" w:eastAsia="Calibri" w:hAnsi="Arial" w:cs="Arial"/>
          <w:b/>
          <w:bCs/>
          <w:color w:val="0B5294"/>
          <w:sz w:val="56"/>
          <w:szCs w:val="56"/>
          <w:lang w:eastAsia="en-US"/>
        </w:rPr>
      </w:pPr>
      <w:r w:rsidRPr="001E1A0D">
        <w:rPr>
          <w:rFonts w:ascii="Arial" w:eastAsia="Calibri" w:hAnsi="Arial" w:cs="Arial"/>
          <w:b/>
          <w:bCs/>
          <w:color w:val="0B5294"/>
          <w:sz w:val="56"/>
          <w:szCs w:val="56"/>
          <w:lang w:eastAsia="en-US"/>
        </w:rPr>
        <w:t>INTEGROVANÝ REGIONÁLNÍ OPERAČNÍ PROGRAM</w:t>
      </w:r>
    </w:p>
    <w:p w14:paraId="7599F267" w14:textId="77777777" w:rsidR="00E71619" w:rsidRPr="001E1A0D" w:rsidRDefault="00E71619" w:rsidP="00E71619">
      <w:pPr>
        <w:spacing w:before="120" w:after="120"/>
        <w:jc w:val="center"/>
        <w:rPr>
          <w:rFonts w:ascii="Arial" w:eastAsia="Calibri" w:hAnsi="Arial" w:cs="Arial"/>
          <w:b/>
          <w:bCs/>
          <w:color w:val="0B5294"/>
          <w:sz w:val="48"/>
          <w:szCs w:val="48"/>
          <w:lang w:eastAsia="en-US"/>
        </w:rPr>
      </w:pPr>
      <w:r w:rsidRPr="001E1A0D">
        <w:rPr>
          <w:rFonts w:ascii="Arial" w:eastAsia="Calibri" w:hAnsi="Arial" w:cs="Arial"/>
          <w:b/>
          <w:bCs/>
          <w:color w:val="0B5294"/>
          <w:sz w:val="48"/>
          <w:szCs w:val="48"/>
          <w:lang w:eastAsia="en-US"/>
        </w:rPr>
        <w:t>2021</w:t>
      </w:r>
      <w:r w:rsidRPr="001E1A0D">
        <w:rPr>
          <w:rFonts w:ascii="Arial" w:eastAsia="SimSun" w:hAnsi="Arial" w:cs="Arial"/>
          <w:b/>
          <w:bCs/>
          <w:color w:val="2F5496"/>
          <w:sz w:val="48"/>
          <w:szCs w:val="48"/>
          <w:lang w:eastAsia="zh-CN"/>
        </w:rPr>
        <w:t>–</w:t>
      </w:r>
      <w:r w:rsidRPr="001E1A0D">
        <w:rPr>
          <w:rFonts w:ascii="Arial" w:eastAsia="Calibri" w:hAnsi="Arial" w:cs="Arial"/>
          <w:b/>
          <w:bCs/>
          <w:color w:val="0B5294"/>
          <w:sz w:val="48"/>
          <w:szCs w:val="48"/>
          <w:lang w:eastAsia="en-US"/>
        </w:rPr>
        <w:t>2027</w:t>
      </w:r>
    </w:p>
    <w:p w14:paraId="2DF54C5C"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B5294"/>
          <w:sz w:val="40"/>
          <w:szCs w:val="60"/>
          <w:lang w:eastAsia="ja-JP"/>
        </w:rPr>
      </w:pPr>
    </w:p>
    <w:p w14:paraId="367F317A" w14:textId="77777777" w:rsidR="00E71619" w:rsidRPr="001E1A0D" w:rsidRDefault="00E71619" w:rsidP="00E71619">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1E1A0D">
        <w:rPr>
          <w:rFonts w:ascii="Arial" w:eastAsia="MS Mincho" w:hAnsi="Arial" w:cs="Arial"/>
          <w:b/>
          <w:bCs/>
          <w:color w:val="0B5294"/>
          <w:sz w:val="56"/>
          <w:szCs w:val="56"/>
          <w:lang w:eastAsia="ja-JP"/>
        </w:rPr>
        <w:t>SPECIFICKÁ PRAVIDLA PRO ŽADATELE A PŘÍJEMCE</w:t>
      </w:r>
    </w:p>
    <w:p w14:paraId="4899D6CF" w14:textId="77777777" w:rsidR="00E71619" w:rsidRPr="001E1A0D" w:rsidRDefault="00E71619" w:rsidP="00E71619">
      <w:pPr>
        <w:widowControl w:val="0"/>
        <w:autoSpaceDE w:val="0"/>
        <w:autoSpaceDN w:val="0"/>
        <w:adjustRightInd w:val="0"/>
        <w:spacing w:line="288" w:lineRule="auto"/>
        <w:textAlignment w:val="center"/>
        <w:rPr>
          <w:rFonts w:ascii="Arial" w:eastAsia="MS Mincho" w:hAnsi="Arial" w:cs="Arial"/>
          <w:b/>
          <w:bCs/>
          <w:color w:val="0B5294"/>
          <w:sz w:val="36"/>
          <w:szCs w:val="36"/>
          <w:lang w:eastAsia="ja-JP"/>
        </w:rPr>
      </w:pPr>
    </w:p>
    <w:p w14:paraId="50D29399" w14:textId="7ABE7A19" w:rsidR="00E71619" w:rsidRPr="00B6719E"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sidRPr="00B6719E">
        <w:rPr>
          <w:rFonts w:ascii="Arial" w:eastAsia="MS Mincho" w:hAnsi="Arial" w:cs="Arial"/>
          <w:b/>
          <w:bCs/>
          <w:color w:val="0B5294"/>
          <w:sz w:val="44"/>
          <w:szCs w:val="44"/>
          <w:lang w:eastAsia="ja-JP"/>
        </w:rPr>
        <w:t xml:space="preserve">PŘÍLOHA </w:t>
      </w:r>
      <w:proofErr w:type="gramStart"/>
      <w:r w:rsidRPr="00B6719E">
        <w:rPr>
          <w:rFonts w:ascii="Arial" w:eastAsia="MS Mincho" w:hAnsi="Arial" w:cs="Arial"/>
          <w:b/>
          <w:bCs/>
          <w:color w:val="0B5294"/>
          <w:sz w:val="44"/>
          <w:szCs w:val="44"/>
          <w:lang w:eastAsia="ja-JP"/>
        </w:rPr>
        <w:t>1</w:t>
      </w:r>
      <w:r w:rsidR="0079012C" w:rsidRPr="00B6719E">
        <w:rPr>
          <w:rFonts w:ascii="Arial" w:eastAsia="MS Mincho" w:hAnsi="Arial" w:cs="Arial"/>
          <w:b/>
          <w:bCs/>
          <w:color w:val="0B5294"/>
          <w:sz w:val="44"/>
          <w:szCs w:val="44"/>
          <w:lang w:eastAsia="ja-JP"/>
        </w:rPr>
        <w:t>B</w:t>
      </w:r>
      <w:proofErr w:type="gramEnd"/>
    </w:p>
    <w:p w14:paraId="7A02B5F2" w14:textId="22FDC21B" w:rsidR="00ED50F7" w:rsidRPr="00B6719E" w:rsidRDefault="00E71619" w:rsidP="002318A5">
      <w:pPr>
        <w:widowControl w:val="0"/>
        <w:autoSpaceDE w:val="0"/>
        <w:autoSpaceDN w:val="0"/>
        <w:adjustRightInd w:val="0"/>
        <w:spacing w:after="240" w:line="288" w:lineRule="auto"/>
        <w:jc w:val="center"/>
        <w:textAlignment w:val="center"/>
        <w:rPr>
          <w:rFonts w:ascii="Arial" w:eastAsia="MS Mincho" w:hAnsi="Arial" w:cs="Arial"/>
          <w:b/>
          <w:bCs/>
          <w:color w:val="0B5294"/>
          <w:sz w:val="44"/>
          <w:szCs w:val="44"/>
          <w:lang w:eastAsia="ja-JP"/>
        </w:rPr>
      </w:pPr>
      <w:r w:rsidRPr="00B6719E">
        <w:rPr>
          <w:rFonts w:ascii="Arial" w:eastAsia="MS Mincho" w:hAnsi="Arial" w:cs="Arial"/>
          <w:b/>
          <w:bCs/>
          <w:color w:val="0B5294"/>
          <w:sz w:val="44"/>
          <w:szCs w:val="44"/>
          <w:lang w:eastAsia="ja-JP"/>
        </w:rPr>
        <w:t>METODICKÉ LISTY INDIKÁTORŮ</w:t>
      </w:r>
    </w:p>
    <w:p w14:paraId="5EF01D80" w14:textId="77777777" w:rsidR="00E71619" w:rsidRPr="00B6719E" w:rsidRDefault="00E71619" w:rsidP="002318A5">
      <w:pPr>
        <w:widowControl w:val="0"/>
        <w:autoSpaceDE w:val="0"/>
        <w:autoSpaceDN w:val="0"/>
        <w:adjustRightInd w:val="0"/>
        <w:spacing w:line="288" w:lineRule="auto"/>
        <w:jc w:val="center"/>
        <w:textAlignment w:val="center"/>
        <w:rPr>
          <w:rFonts w:ascii="Arial" w:eastAsia="MS Mincho" w:hAnsi="Arial" w:cs="Arial"/>
          <w:b/>
          <w:bCs/>
          <w:color w:val="0B5294"/>
          <w:sz w:val="16"/>
          <w:szCs w:val="16"/>
          <w:lang w:eastAsia="ja-JP"/>
        </w:rPr>
      </w:pPr>
    </w:p>
    <w:p w14:paraId="5463CC33" w14:textId="045B7D61" w:rsidR="00ED50F7" w:rsidRPr="00ED50F7" w:rsidRDefault="0079012C">
      <w:pPr>
        <w:widowControl w:val="0"/>
        <w:autoSpaceDE w:val="0"/>
        <w:autoSpaceDN w:val="0"/>
        <w:adjustRightInd w:val="0"/>
        <w:spacing w:line="288" w:lineRule="auto"/>
        <w:jc w:val="center"/>
        <w:textAlignment w:val="center"/>
        <w:rPr>
          <w:rFonts w:ascii="Arial" w:eastAsia="MS Mincho" w:hAnsi="Arial" w:cs="Arial"/>
          <w:caps/>
          <w:color w:val="000000"/>
          <w:sz w:val="36"/>
          <w:szCs w:val="36"/>
          <w:lang w:eastAsia="ja-JP"/>
        </w:rPr>
      </w:pPr>
      <w:r w:rsidRPr="00B6719E">
        <w:rPr>
          <w:rFonts w:ascii="Arial" w:eastAsia="MS Mincho" w:hAnsi="Arial" w:cs="Arial"/>
          <w:caps/>
          <w:color w:val="000000"/>
          <w:sz w:val="36"/>
          <w:szCs w:val="36"/>
          <w:lang w:eastAsia="ja-JP"/>
        </w:rPr>
        <w:t>60</w:t>
      </w:r>
      <w:r w:rsidR="00ED50F7" w:rsidRPr="00B6719E">
        <w:rPr>
          <w:rFonts w:ascii="Arial" w:eastAsia="MS Mincho" w:hAnsi="Arial" w:cs="Arial"/>
          <w:caps/>
          <w:color w:val="000000"/>
          <w:sz w:val="36"/>
          <w:szCs w:val="36"/>
          <w:lang w:eastAsia="ja-JP"/>
        </w:rPr>
        <w:t xml:space="preserve">. výzva irop </w:t>
      </w:r>
      <w:r w:rsidR="000B5D93" w:rsidRPr="00B6719E">
        <w:rPr>
          <w:rFonts w:ascii="Arial" w:hAnsi="Arial" w:cs="Arial"/>
          <w:sz w:val="36"/>
          <w:szCs w:val="36"/>
        </w:rPr>
        <w:t>–</w:t>
      </w:r>
      <w:r w:rsidR="00ED50F7" w:rsidRPr="00B6719E">
        <w:rPr>
          <w:rFonts w:ascii="Arial" w:eastAsia="MS Mincho" w:hAnsi="Arial" w:cs="Arial"/>
          <w:caps/>
          <w:color w:val="000000"/>
          <w:sz w:val="36"/>
          <w:szCs w:val="36"/>
          <w:lang w:eastAsia="ja-JP"/>
        </w:rPr>
        <w:t xml:space="preserve"> </w:t>
      </w:r>
      <w:r w:rsidRPr="00B6719E">
        <w:rPr>
          <w:rFonts w:ascii="Arial" w:eastAsia="MS Mincho" w:hAnsi="Arial" w:cs="Arial"/>
          <w:caps/>
          <w:color w:val="000000"/>
          <w:sz w:val="36"/>
          <w:szCs w:val="36"/>
          <w:lang w:eastAsia="ja-JP"/>
        </w:rPr>
        <w:t xml:space="preserve">Doprava </w:t>
      </w:r>
      <w:r w:rsidR="000B5D93" w:rsidRPr="00B6719E">
        <w:rPr>
          <w:rFonts w:ascii="Arial" w:hAnsi="Arial" w:cs="Arial"/>
          <w:sz w:val="36"/>
          <w:szCs w:val="36"/>
        </w:rPr>
        <w:t>–</w:t>
      </w:r>
      <w:r w:rsidR="00B1234C" w:rsidRPr="00B6719E">
        <w:rPr>
          <w:rFonts w:ascii="Arial" w:eastAsia="MS Mincho" w:hAnsi="Arial" w:cs="Arial"/>
          <w:caps/>
          <w:color w:val="000000"/>
          <w:sz w:val="36"/>
          <w:szCs w:val="36"/>
          <w:lang w:eastAsia="ja-JP"/>
        </w:rPr>
        <w:t xml:space="preserve"> </w:t>
      </w:r>
      <w:r w:rsidR="00ED50F7" w:rsidRPr="00B6719E">
        <w:rPr>
          <w:rFonts w:ascii="Arial" w:eastAsia="MS Mincho" w:hAnsi="Arial" w:cs="Arial"/>
          <w:caps/>
          <w:color w:val="000000"/>
          <w:sz w:val="36"/>
          <w:szCs w:val="36"/>
          <w:lang w:eastAsia="ja-JP"/>
        </w:rPr>
        <w:t xml:space="preserve">INFRASTRUKTURA PRO CYKLISTICKOU DOPRAVU </w:t>
      </w:r>
      <w:r w:rsidR="000B5D93" w:rsidRPr="00B6719E">
        <w:rPr>
          <w:rFonts w:ascii="Arial" w:hAnsi="Arial" w:cs="Arial"/>
          <w:sz w:val="36"/>
          <w:szCs w:val="36"/>
        </w:rPr>
        <w:t>–</w:t>
      </w:r>
      <w:r w:rsidR="00ED50F7" w:rsidRPr="00B6719E">
        <w:rPr>
          <w:rFonts w:ascii="Arial" w:eastAsia="MS Mincho" w:hAnsi="Arial" w:cs="Arial"/>
          <w:caps/>
          <w:color w:val="000000"/>
          <w:sz w:val="36"/>
          <w:szCs w:val="36"/>
          <w:lang w:eastAsia="ja-JP"/>
        </w:rPr>
        <w:t xml:space="preserve"> SC </w:t>
      </w:r>
      <w:r w:rsidRPr="00B6719E">
        <w:rPr>
          <w:rFonts w:ascii="Arial" w:eastAsia="MS Mincho" w:hAnsi="Arial" w:cs="Arial"/>
          <w:caps/>
          <w:color w:val="000000"/>
          <w:sz w:val="36"/>
          <w:szCs w:val="36"/>
          <w:lang w:eastAsia="ja-JP"/>
        </w:rPr>
        <w:t>5</w:t>
      </w:r>
      <w:r w:rsidR="00ED50F7" w:rsidRPr="00B6719E">
        <w:rPr>
          <w:rFonts w:ascii="Arial" w:eastAsia="MS Mincho" w:hAnsi="Arial" w:cs="Arial"/>
          <w:caps/>
          <w:color w:val="000000"/>
          <w:sz w:val="36"/>
          <w:szCs w:val="36"/>
          <w:lang w:eastAsia="ja-JP"/>
        </w:rPr>
        <w:t>.1 (</w:t>
      </w:r>
      <w:r w:rsidR="00B1234C" w:rsidRPr="00B6719E">
        <w:rPr>
          <w:rFonts w:ascii="Arial" w:eastAsia="MS Mincho" w:hAnsi="Arial" w:cs="Arial"/>
          <w:caps/>
          <w:color w:val="000000"/>
          <w:sz w:val="36"/>
          <w:szCs w:val="36"/>
          <w:lang w:eastAsia="ja-JP"/>
        </w:rPr>
        <w:t>CLLD</w:t>
      </w:r>
      <w:r w:rsidR="00ED50F7" w:rsidRPr="00B6719E">
        <w:rPr>
          <w:rFonts w:ascii="Arial" w:eastAsia="MS Mincho" w:hAnsi="Arial" w:cs="Arial"/>
          <w:caps/>
          <w:color w:val="000000"/>
          <w:sz w:val="36"/>
          <w:szCs w:val="36"/>
          <w:lang w:eastAsia="ja-JP"/>
        </w:rPr>
        <w:t>)</w:t>
      </w:r>
    </w:p>
    <w:p w14:paraId="0021C10E" w14:textId="77777777" w:rsidR="00E71619" w:rsidRPr="001E1A0D" w:rsidRDefault="00E71619" w:rsidP="002318A5">
      <w:pPr>
        <w:spacing w:after="200" w:line="276" w:lineRule="auto"/>
        <w:jc w:val="center"/>
        <w:rPr>
          <w:rFonts w:ascii="Arial" w:eastAsia="Calibri" w:hAnsi="Arial" w:cs="Arial"/>
          <w:b/>
          <w:color w:val="7F7F7F"/>
          <w:sz w:val="36"/>
          <w:szCs w:val="36"/>
          <w:lang w:eastAsia="en-US"/>
        </w:rPr>
      </w:pPr>
    </w:p>
    <w:p w14:paraId="29F7EAC3" w14:textId="3712F99D" w:rsidR="00E71619" w:rsidRPr="002D3B77" w:rsidRDefault="004F11E2" w:rsidP="002318A5">
      <w:pPr>
        <w:tabs>
          <w:tab w:val="left" w:pos="3350"/>
          <w:tab w:val="center" w:pos="4535"/>
        </w:tabs>
        <w:spacing w:after="200" w:line="276" w:lineRule="auto"/>
        <w:rPr>
          <w:rFonts w:ascii="Arial" w:eastAsia="Calibri" w:hAnsi="Arial" w:cs="Arial"/>
          <w:caps/>
          <w:color w:val="7F7F7F"/>
          <w:sz w:val="32"/>
          <w:szCs w:val="32"/>
          <w:lang w:eastAsia="en-US"/>
        </w:rPr>
        <w:sectPr w:rsidR="00E71619" w:rsidRPr="002D3B77" w:rsidSect="002318A5">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pPr>
      <w:r>
        <w:rPr>
          <w:rFonts w:ascii="Arial" w:eastAsia="Calibri" w:hAnsi="Arial" w:cs="Arial"/>
          <w:caps/>
          <w:color w:val="7F7F7F"/>
          <w:lang w:eastAsia="en-US"/>
        </w:rPr>
        <w:tab/>
      </w:r>
      <w:r>
        <w:rPr>
          <w:rFonts w:ascii="Arial" w:eastAsia="Calibri" w:hAnsi="Arial" w:cs="Arial"/>
          <w:caps/>
          <w:color w:val="7F7F7F"/>
          <w:lang w:eastAsia="en-US"/>
        </w:rPr>
        <w:tab/>
      </w:r>
      <w:r w:rsidR="00E71619" w:rsidRPr="002318A5">
        <w:rPr>
          <w:rFonts w:ascii="Arial" w:eastAsia="Calibri" w:hAnsi="Arial" w:cs="Arial"/>
          <w:caps/>
          <w:color w:val="7F7F7F"/>
          <w:lang w:eastAsia="en-US"/>
        </w:rPr>
        <w:t xml:space="preserve">VERZE </w:t>
      </w:r>
      <w:r w:rsidR="002D3B77" w:rsidRPr="002318A5">
        <w:rPr>
          <w:rFonts w:ascii="Arial" w:eastAsia="Calibri" w:hAnsi="Arial" w:cs="Arial"/>
          <w:caps/>
          <w:color w:val="7F7F7F"/>
          <w:lang w:eastAsia="en-US"/>
        </w:rPr>
        <w:t xml:space="preserve"> </w:t>
      </w:r>
      <w:r w:rsidR="002D3B77" w:rsidRPr="002D3B77">
        <w:rPr>
          <w:rFonts w:ascii="Arial" w:eastAsia="Calibri" w:hAnsi="Arial" w:cs="Arial"/>
          <w:caps/>
          <w:color w:val="7F7F7F"/>
          <w:sz w:val="32"/>
          <w:szCs w:val="32"/>
          <w:lang w:eastAsia="en-US"/>
        </w:rPr>
        <w:t>1</w:t>
      </w:r>
    </w:p>
    <w:tbl>
      <w:tblPr>
        <w:tblpPr w:leftFromText="141" w:rightFromText="141" w:vertAnchor="text" w:horzAnchor="margin" w:tblpY="19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F0533A" w:rsidRPr="00CE6BEE" w14:paraId="5222DBA0" w14:textId="77777777" w:rsidTr="00F0533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A5175D8" w14:textId="77777777" w:rsidR="00F0533A" w:rsidRPr="000465C4" w:rsidRDefault="00F0533A" w:rsidP="00F0533A">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F0533A" w:rsidRPr="00CE6BEE" w14:paraId="68450F02" w14:textId="77777777" w:rsidTr="00F0533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06224" w14:textId="77777777" w:rsidR="00F0533A" w:rsidRPr="00C81922" w:rsidRDefault="00F0533A" w:rsidP="00F0533A">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1D0D4" w14:textId="77777777" w:rsidR="00F0533A" w:rsidRPr="0050415A" w:rsidRDefault="00F0533A" w:rsidP="00F0533A">
            <w:pPr>
              <w:spacing w:before="80" w:after="80" w:line="276" w:lineRule="auto"/>
              <w:ind w:left="57" w:right="57"/>
              <w:jc w:val="center"/>
              <w:rPr>
                <w:rFonts w:eastAsiaTheme="minorHAnsi"/>
                <w:b/>
                <w:bCs/>
              </w:rPr>
            </w:pPr>
            <w:r>
              <w:rPr>
                <w:rFonts w:ascii="Arial" w:eastAsiaTheme="minorHAnsi" w:hAnsi="Arial" w:cs="Arial"/>
                <w:b/>
                <w:bCs/>
                <w:color w:val="000000"/>
                <w:lang w:eastAsia="en-US"/>
              </w:rPr>
              <w:t>761 101</w:t>
            </w:r>
            <w:r w:rsidRPr="0050415A">
              <w:rPr>
                <w:rFonts w:ascii="Arial" w:eastAsiaTheme="minorHAnsi" w:hAnsi="Arial" w:cs="Arial"/>
                <w:b/>
                <w:bCs/>
                <w:color w:val="000000"/>
                <w:lang w:eastAsia="en-US"/>
              </w:rPr>
              <w:t xml:space="preserve"> - </w:t>
            </w:r>
            <w:r>
              <w:rPr>
                <w:rFonts w:ascii="Arial" w:eastAsiaTheme="minorHAnsi" w:hAnsi="Arial" w:cs="Arial"/>
                <w:b/>
                <w:bCs/>
                <w:color w:val="000000"/>
                <w:lang w:eastAsia="en-US"/>
              </w:rPr>
              <w:t>Podpořená specializovaná cyklistická infrastruktura</w:t>
            </w:r>
          </w:p>
        </w:tc>
      </w:tr>
      <w:tr w:rsidR="00F0533A" w:rsidRPr="00AB1542" w14:paraId="668420BE" w14:textId="77777777" w:rsidTr="00F0533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3C5DB032" w14:textId="77777777" w:rsidR="00F0533A" w:rsidRPr="00C81922" w:rsidRDefault="00F0533A" w:rsidP="00F0533A">
            <w:pPr>
              <w:pStyle w:val="Nadpis1"/>
              <w:spacing w:before="0" w:after="0"/>
              <w:ind w:left="57" w:right="57"/>
              <w:rPr>
                <w:rFonts w:ascii="Arial" w:hAnsi="Arial" w:cs="Arial"/>
              </w:rPr>
            </w:pPr>
            <w:bookmarkStart w:id="1" w:name="_Toc97720338"/>
            <w:r w:rsidRPr="00C81922">
              <w:rPr>
                <w:rFonts w:ascii="Arial" w:hAnsi="Arial" w:cs="Arial"/>
                <w:caps w:val="0"/>
                <w:sz w:val="22"/>
                <w:szCs w:val="22"/>
              </w:rPr>
              <w:t>Specifický cíl programu</w:t>
            </w:r>
            <w:bookmarkEnd w:id="1"/>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713D3A4A" w14:textId="77777777" w:rsidR="00F0533A" w:rsidRPr="00C81922" w:rsidRDefault="00F0533A" w:rsidP="00F0533A">
            <w:pPr>
              <w:pStyle w:val="Nadpis1"/>
              <w:spacing w:before="0" w:after="0"/>
              <w:ind w:left="57" w:right="57"/>
              <w:rPr>
                <w:rFonts w:ascii="Arial" w:hAnsi="Arial" w:cs="Arial"/>
                <w:caps w:val="0"/>
                <w:sz w:val="22"/>
                <w:szCs w:val="22"/>
              </w:rPr>
            </w:pPr>
            <w:bookmarkStart w:id="2" w:name="_Toc97720339"/>
            <w:r w:rsidRPr="00C81922">
              <w:rPr>
                <w:rFonts w:ascii="Arial" w:hAnsi="Arial" w:cs="Arial"/>
                <w:caps w:val="0"/>
                <w:sz w:val="22"/>
                <w:szCs w:val="22"/>
              </w:rPr>
              <w:t>Měrná jednotka</w:t>
            </w:r>
            <w:bookmarkEnd w:id="2"/>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54F217B3" w14:textId="77777777" w:rsidR="00F0533A" w:rsidRPr="00C81922" w:rsidRDefault="00F0533A" w:rsidP="00F0533A">
            <w:pPr>
              <w:pStyle w:val="Nadpis1"/>
              <w:spacing w:before="0" w:after="0"/>
              <w:ind w:left="57" w:right="57"/>
              <w:rPr>
                <w:rFonts w:ascii="Arial" w:hAnsi="Arial" w:cs="Arial"/>
                <w:caps w:val="0"/>
                <w:sz w:val="22"/>
                <w:szCs w:val="22"/>
              </w:rPr>
            </w:pPr>
            <w:bookmarkStart w:id="3" w:name="_Toc97720340"/>
            <w:r w:rsidRPr="00C81922">
              <w:rPr>
                <w:rFonts w:ascii="Arial" w:hAnsi="Arial" w:cs="Arial"/>
                <w:caps w:val="0"/>
                <w:sz w:val="22"/>
                <w:szCs w:val="22"/>
              </w:rPr>
              <w:t>Typ indikátoru</w:t>
            </w:r>
            <w:bookmarkEnd w:id="3"/>
          </w:p>
        </w:tc>
      </w:tr>
      <w:tr w:rsidR="00F0533A" w:rsidRPr="00AB1542" w14:paraId="44A33B51" w14:textId="77777777" w:rsidTr="00F0533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75E8F662" w14:textId="66DA30BC" w:rsidR="00F0533A" w:rsidRPr="00C81922" w:rsidRDefault="00F0533A" w:rsidP="00F0533A">
            <w:pPr>
              <w:pStyle w:val="Nadpis1"/>
              <w:spacing w:before="0" w:after="0"/>
              <w:ind w:left="57" w:right="57"/>
              <w:rPr>
                <w:rFonts w:ascii="Arial" w:hAnsi="Arial" w:cs="Arial"/>
                <w:caps w:val="0"/>
                <w:sz w:val="22"/>
                <w:szCs w:val="22"/>
              </w:rPr>
            </w:pPr>
            <w:bookmarkStart w:id="4" w:name="_Toc97720341"/>
            <w:r w:rsidRPr="00B6719E">
              <w:rPr>
                <w:rFonts w:ascii="Arial" w:hAnsi="Arial" w:cs="Arial"/>
                <w:caps w:val="0"/>
                <w:sz w:val="22"/>
                <w:szCs w:val="22"/>
              </w:rPr>
              <w:t xml:space="preserve">IROP </w:t>
            </w:r>
            <w:bookmarkEnd w:id="4"/>
            <w:r w:rsidR="00236420" w:rsidRPr="00B6719E">
              <w:rPr>
                <w:rFonts w:ascii="Arial" w:hAnsi="Arial" w:cs="Arial"/>
                <w:caps w:val="0"/>
                <w:sz w:val="22"/>
                <w:szCs w:val="22"/>
              </w:rPr>
              <w:t>5</w:t>
            </w:r>
            <w:r w:rsidRPr="00B6719E">
              <w:rPr>
                <w:rFonts w:ascii="Arial" w:hAnsi="Arial" w:cs="Arial"/>
                <w:caps w:val="0"/>
                <w:sz w:val="22"/>
                <w:szCs w:val="22"/>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0540F3E2" w14:textId="77777777" w:rsidR="00F0533A" w:rsidRPr="00C81922" w:rsidRDefault="00F0533A" w:rsidP="00F0533A">
            <w:pPr>
              <w:pStyle w:val="Nadpis1"/>
              <w:spacing w:before="0" w:after="0"/>
              <w:ind w:left="57" w:right="57"/>
              <w:rPr>
                <w:rFonts w:ascii="Arial" w:hAnsi="Arial" w:cs="Arial"/>
                <w:caps w:val="0"/>
                <w:sz w:val="22"/>
                <w:szCs w:val="22"/>
              </w:rPr>
            </w:pPr>
            <w:r>
              <w:rPr>
                <w:rFonts w:ascii="Arial" w:hAnsi="Arial" w:cs="Arial"/>
                <w:caps w:val="0"/>
              </w:rPr>
              <w:t>km</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7D8D655" w14:textId="77777777" w:rsidR="00F0533A" w:rsidRPr="00C81922" w:rsidRDefault="00F0533A" w:rsidP="00F0533A">
            <w:pPr>
              <w:pStyle w:val="Nadpis1"/>
              <w:spacing w:before="0" w:after="0"/>
              <w:ind w:left="57" w:right="57"/>
              <w:rPr>
                <w:rFonts w:ascii="Arial" w:hAnsi="Arial" w:cs="Arial"/>
                <w:caps w:val="0"/>
                <w:sz w:val="22"/>
                <w:szCs w:val="22"/>
              </w:rPr>
            </w:pPr>
            <w:r>
              <w:rPr>
                <w:rFonts w:ascii="Arial" w:hAnsi="Arial" w:cs="Arial"/>
                <w:caps w:val="0"/>
                <w:sz w:val="22"/>
                <w:szCs w:val="22"/>
              </w:rPr>
              <w:t>výstup</w:t>
            </w:r>
          </w:p>
        </w:tc>
      </w:tr>
    </w:tbl>
    <w:p w14:paraId="42296BBB" w14:textId="77777777" w:rsidR="00461D6A" w:rsidRPr="00F0533A" w:rsidRDefault="00461D6A" w:rsidP="0050415A">
      <w:pPr>
        <w:spacing w:before="240"/>
        <w:rPr>
          <w:sz w:val="4"/>
          <w:szCs w:val="4"/>
          <w:highlight w:val="lightGray"/>
        </w:rPr>
      </w:pPr>
    </w:p>
    <w:p w14:paraId="3489D063" w14:textId="3A9A07C9" w:rsidR="008A2193" w:rsidRPr="0050415A" w:rsidRDefault="008A2193" w:rsidP="0050415A">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Definice indikátoru</w:t>
      </w:r>
      <w:bookmarkEnd w:id="0"/>
      <w:r w:rsidRPr="0050415A">
        <w:rPr>
          <w:rStyle w:val="Zdraznnintenzivn"/>
          <w:rFonts w:ascii="Arial" w:eastAsiaTheme="minorHAnsi" w:hAnsi="Arial" w:cs="Arial"/>
          <w:b/>
          <w:bCs/>
          <w:caps/>
          <w:color w:val="31849B" w:themeColor="accent5" w:themeShade="BF"/>
          <w:lang w:eastAsia="en-US"/>
        </w:rPr>
        <w:t xml:space="preserve"> </w:t>
      </w:r>
    </w:p>
    <w:p w14:paraId="1B2447C2" w14:textId="56DAE528" w:rsidR="00DC13E3" w:rsidRPr="00DC13E3" w:rsidRDefault="008C7931" w:rsidP="00DC13E3">
      <w:pPr>
        <w:spacing w:line="276" w:lineRule="auto"/>
        <w:jc w:val="both"/>
        <w:rPr>
          <w:rStyle w:val="Zdraznnintenzivn"/>
          <w:rFonts w:ascii="Arial" w:hAnsi="Arial" w:cs="Arial"/>
          <w:i w:val="0"/>
          <w:iCs w:val="0"/>
          <w:color w:val="auto"/>
          <w:sz w:val="22"/>
          <w:szCs w:val="22"/>
        </w:rPr>
      </w:pPr>
      <w:r>
        <w:rPr>
          <w:rFonts w:ascii="Arial" w:hAnsi="Arial" w:cs="Arial"/>
          <w:sz w:val="22"/>
          <w:szCs w:val="22"/>
        </w:rPr>
        <w:t>Délka nově vybudované nebo výrazně modernizované vyhrazené cyklistické infrastruktury podporovanými projekty. Vyhrazená cyklistická infrastruktura zahrnuje cyklistická zařízení oddělená od silnic pro silniční provoz nebo jiných částí stejné silnice strukturálními prostředky (obrubníky, bariéry), cyklistické ulice, cyklistické tunely atd. U cyklistické infrastruktury s oddělenými jednosměrnými jízdními pruhy (např. na každé straně silnice) se délka měří jako délka jízdního pruhu</w:t>
      </w:r>
      <w:r w:rsidR="001952F9">
        <w:rPr>
          <w:rFonts w:ascii="Arial" w:hAnsi="Arial" w:cs="Arial"/>
          <w:sz w:val="22"/>
          <w:szCs w:val="22"/>
        </w:rPr>
        <w:t>.</w:t>
      </w:r>
      <w:bookmarkStart w:id="5" w:name="_Toc97720346"/>
    </w:p>
    <w:p w14:paraId="3527FBE7" w14:textId="3515A9EA" w:rsidR="00C3292A" w:rsidRPr="0050415A" w:rsidRDefault="0057432E" w:rsidP="00DC13E3">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Upřesňující informace</w:t>
      </w:r>
      <w:bookmarkEnd w:id="5"/>
    </w:p>
    <w:p w14:paraId="7BAC7CCE" w14:textId="4E95E028" w:rsidR="002C04B8" w:rsidRPr="00D27F55" w:rsidRDefault="0057432E" w:rsidP="002318A5">
      <w:pPr>
        <w:spacing w:after="240" w:line="276" w:lineRule="auto"/>
        <w:jc w:val="both"/>
        <w:rPr>
          <w:rFonts w:ascii="Arial" w:hAnsi="Arial" w:cs="Arial"/>
          <w:sz w:val="22"/>
          <w:szCs w:val="22"/>
        </w:rPr>
      </w:pPr>
      <w:r w:rsidRPr="009A4CBD">
        <w:rPr>
          <w:rFonts w:ascii="Arial" w:hAnsi="Arial" w:cs="Arial"/>
          <w:sz w:val="22"/>
          <w:szCs w:val="22"/>
        </w:rPr>
        <w:t>Indikátor</w:t>
      </w:r>
      <w:r w:rsidR="00822000" w:rsidRPr="009A4CBD">
        <w:rPr>
          <w:rFonts w:ascii="Arial" w:hAnsi="Arial" w:cs="Arial"/>
          <w:sz w:val="22"/>
          <w:szCs w:val="22"/>
        </w:rPr>
        <w:t xml:space="preserve"> </w:t>
      </w:r>
      <w:r w:rsidR="00822000" w:rsidRPr="00025FE7">
        <w:rPr>
          <w:rFonts w:ascii="Arial" w:hAnsi="Arial" w:cs="Arial"/>
          <w:sz w:val="22"/>
          <w:szCs w:val="22"/>
        </w:rPr>
        <w:t>je</w:t>
      </w:r>
      <w:r w:rsidRPr="00025FE7">
        <w:rPr>
          <w:rFonts w:ascii="Arial" w:hAnsi="Arial" w:cs="Arial"/>
          <w:sz w:val="22"/>
          <w:szCs w:val="22"/>
        </w:rPr>
        <w:t xml:space="preserve"> </w:t>
      </w:r>
      <w:r w:rsidR="003E3EA1" w:rsidRPr="002318A5">
        <w:rPr>
          <w:rFonts w:ascii="Arial" w:hAnsi="Arial" w:cs="Arial"/>
          <w:sz w:val="22"/>
          <w:szCs w:val="22"/>
        </w:rPr>
        <w:t>povinný k výběru a naplnění</w:t>
      </w:r>
      <w:r w:rsidRPr="00025FE7">
        <w:rPr>
          <w:rFonts w:ascii="Arial" w:hAnsi="Arial" w:cs="Arial"/>
          <w:sz w:val="22"/>
          <w:szCs w:val="22"/>
        </w:rPr>
        <w:t xml:space="preserve"> pro </w:t>
      </w:r>
      <w:r w:rsidR="00BB77E8" w:rsidRPr="00BB77E8">
        <w:rPr>
          <w:rFonts w:ascii="Arial" w:hAnsi="Arial" w:cs="Arial"/>
          <w:sz w:val="22"/>
          <w:szCs w:val="22"/>
        </w:rPr>
        <w:t>projekty zahrnující výstavbu, modernizaci a rekonstrukci vyhrazených komunikací pro cyklisty</w:t>
      </w:r>
      <w:r w:rsidR="003121B6" w:rsidRPr="00025FE7">
        <w:rPr>
          <w:rFonts w:ascii="Arial" w:hAnsi="Arial" w:cs="Arial"/>
          <w:sz w:val="22"/>
          <w:szCs w:val="22"/>
        </w:rPr>
        <w:t>.</w:t>
      </w:r>
    </w:p>
    <w:p w14:paraId="2FEAF440" w14:textId="550ABB82" w:rsidR="00025FE7" w:rsidRPr="002318A5" w:rsidRDefault="00025FE7" w:rsidP="002318A5">
      <w:pPr>
        <w:pStyle w:val="Odstavecseseznamem"/>
        <w:numPr>
          <w:ilvl w:val="0"/>
          <w:numId w:val="38"/>
        </w:numPr>
        <w:spacing w:after="240" w:line="276" w:lineRule="auto"/>
        <w:jc w:val="both"/>
        <w:rPr>
          <w:rFonts w:ascii="Arial" w:hAnsi="Arial" w:cs="Arial"/>
          <w:sz w:val="22"/>
          <w:szCs w:val="22"/>
        </w:rPr>
      </w:pPr>
      <w:r w:rsidRPr="002318A5">
        <w:rPr>
          <w:rFonts w:ascii="Arial" w:hAnsi="Arial" w:cs="Arial"/>
          <w:sz w:val="22"/>
          <w:szCs w:val="22"/>
        </w:rPr>
        <w:t>Podkladem pro stanovení cílové hodnoty indikátoru na úrovni projektu je zejména odpovídající projektová dokumentace stavby, případně dokumentace návrhu dopravního značení řešené vyhrazené komunikace pro cyklisty.</w:t>
      </w:r>
    </w:p>
    <w:p w14:paraId="6FD9B20A" w14:textId="77777777" w:rsidR="00025FE7" w:rsidRDefault="00025FE7" w:rsidP="002318A5">
      <w:pPr>
        <w:pStyle w:val="Odstavecseseznamem"/>
        <w:numPr>
          <w:ilvl w:val="0"/>
          <w:numId w:val="38"/>
        </w:numPr>
        <w:spacing w:after="240" w:line="276" w:lineRule="auto"/>
        <w:jc w:val="both"/>
        <w:rPr>
          <w:rFonts w:ascii="Arial" w:hAnsi="Arial" w:cs="Arial"/>
          <w:sz w:val="22"/>
          <w:szCs w:val="22"/>
        </w:rPr>
      </w:pPr>
      <w:r w:rsidRPr="002318A5">
        <w:rPr>
          <w:rFonts w:ascii="Arial" w:hAnsi="Arial" w:cs="Arial"/>
          <w:sz w:val="22"/>
          <w:szCs w:val="22"/>
        </w:rPr>
        <w:t>Do hodnoty indikátoru se nezapočítává délka prvků doprovodné infrastruktury ani vyvolaných investic.</w:t>
      </w:r>
    </w:p>
    <w:p w14:paraId="63A9195C" w14:textId="38E10A8E" w:rsidR="00025FE7" w:rsidRDefault="00025FE7">
      <w:pPr>
        <w:pStyle w:val="Odstavecseseznamem"/>
        <w:numPr>
          <w:ilvl w:val="0"/>
          <w:numId w:val="38"/>
        </w:numPr>
        <w:spacing w:after="240" w:line="276" w:lineRule="auto"/>
        <w:jc w:val="both"/>
        <w:rPr>
          <w:rFonts w:ascii="Arial" w:hAnsi="Arial" w:cs="Arial"/>
          <w:sz w:val="22"/>
          <w:szCs w:val="22"/>
        </w:rPr>
      </w:pPr>
      <w:bookmarkStart w:id="6" w:name="_Hlk116032230"/>
      <w:r w:rsidRPr="005468E2">
        <w:rPr>
          <w:rFonts w:ascii="Arial" w:hAnsi="Arial" w:cs="Arial"/>
          <w:sz w:val="22"/>
          <w:szCs w:val="22"/>
        </w:rPr>
        <w:t xml:space="preserve">Do hodnoty indikátoru se nezapočítává </w:t>
      </w:r>
      <w:bookmarkEnd w:id="6"/>
      <w:r w:rsidRPr="005468E2">
        <w:rPr>
          <w:rFonts w:ascii="Arial" w:hAnsi="Arial" w:cs="Arial"/>
          <w:sz w:val="22"/>
          <w:szCs w:val="22"/>
        </w:rPr>
        <w:t>délka pozemních komunikací jakékoliv jiné kategorie ani jejich částí, po kterých je cyklistická doprava převáděna (včetně přejezdů pro cyklisty apod.).</w:t>
      </w:r>
    </w:p>
    <w:p w14:paraId="2C5EBD5B" w14:textId="5B1472A7" w:rsidR="00477E25" w:rsidRPr="002318A5" w:rsidRDefault="00477E25" w:rsidP="002318A5">
      <w:pPr>
        <w:pStyle w:val="Odstavecseseznamem"/>
        <w:numPr>
          <w:ilvl w:val="0"/>
          <w:numId w:val="38"/>
        </w:numPr>
        <w:spacing w:after="240" w:line="276" w:lineRule="auto"/>
        <w:jc w:val="both"/>
        <w:rPr>
          <w:rFonts w:ascii="Arial" w:hAnsi="Arial" w:cs="Arial"/>
          <w:sz w:val="22"/>
          <w:szCs w:val="22"/>
        </w:rPr>
      </w:pPr>
      <w:r w:rsidRPr="00477E25">
        <w:rPr>
          <w:rFonts w:ascii="Arial" w:hAnsi="Arial" w:cs="Arial"/>
          <w:sz w:val="22"/>
          <w:szCs w:val="22"/>
        </w:rPr>
        <w:t>Do hodnoty indikátoru se nezapočítává</w:t>
      </w:r>
      <w:r>
        <w:rPr>
          <w:rFonts w:ascii="Arial" w:hAnsi="Arial" w:cs="Arial"/>
          <w:sz w:val="22"/>
          <w:szCs w:val="22"/>
        </w:rPr>
        <w:t xml:space="preserve"> délka </w:t>
      </w:r>
      <w:r w:rsidRPr="00477E25">
        <w:rPr>
          <w:rFonts w:ascii="Arial" w:hAnsi="Arial" w:cs="Arial"/>
          <w:sz w:val="22"/>
          <w:szCs w:val="22"/>
        </w:rPr>
        <w:t>přímé</w:t>
      </w:r>
      <w:r>
        <w:rPr>
          <w:rFonts w:ascii="Arial" w:hAnsi="Arial" w:cs="Arial"/>
          <w:sz w:val="22"/>
          <w:szCs w:val="22"/>
        </w:rPr>
        <w:t>ho</w:t>
      </w:r>
      <w:r w:rsidRPr="00477E25">
        <w:rPr>
          <w:rFonts w:ascii="Arial" w:hAnsi="Arial" w:cs="Arial"/>
          <w:sz w:val="22"/>
          <w:szCs w:val="22"/>
        </w:rPr>
        <w:t xml:space="preserve"> napojení doprovodné infrastruktury na vyhrazenou komunikaci pro cyklisty</w:t>
      </w:r>
      <w:r>
        <w:rPr>
          <w:rFonts w:ascii="Arial" w:hAnsi="Arial" w:cs="Arial"/>
          <w:sz w:val="22"/>
          <w:szCs w:val="22"/>
        </w:rPr>
        <w:t>.</w:t>
      </w:r>
    </w:p>
    <w:p w14:paraId="5A4D0254" w14:textId="6D61E366" w:rsidR="00025FE7" w:rsidRDefault="00025FE7" w:rsidP="002318A5">
      <w:pPr>
        <w:pStyle w:val="Odstavecseseznamem"/>
        <w:numPr>
          <w:ilvl w:val="0"/>
          <w:numId w:val="38"/>
        </w:numPr>
        <w:spacing w:line="276" w:lineRule="auto"/>
        <w:rPr>
          <w:rFonts w:ascii="Arial" w:hAnsi="Arial" w:cs="Arial"/>
          <w:sz w:val="22"/>
          <w:szCs w:val="22"/>
        </w:rPr>
      </w:pPr>
      <w:r w:rsidRPr="002318A5">
        <w:rPr>
          <w:rFonts w:ascii="Arial" w:hAnsi="Arial" w:cs="Arial"/>
          <w:sz w:val="22"/>
          <w:szCs w:val="22"/>
        </w:rPr>
        <w:t>Do hodnoty indikátoru se nezapočítává délka úseku zrealizované vyhrazené komunikace pro cyklisty financovaného zcela z nezpůsobilých výdajů projektu.</w:t>
      </w:r>
    </w:p>
    <w:p w14:paraId="234158E0" w14:textId="7DE8AAE7" w:rsidR="00025FE7" w:rsidRDefault="00025FE7" w:rsidP="002318A5">
      <w:pPr>
        <w:pStyle w:val="Odstavecseseznamem"/>
      </w:pPr>
      <w:r w:rsidRPr="009A4CBD">
        <w:rPr>
          <w:rFonts w:ascii="Arial" w:hAnsi="Arial" w:cs="Arial"/>
          <w:noProof/>
          <w:sz w:val="22"/>
          <w:szCs w:val="22"/>
        </w:rPr>
        <mc:AlternateContent>
          <mc:Choice Requires="wps">
            <w:drawing>
              <wp:anchor distT="0" distB="0" distL="114300" distR="114300" simplePos="0" relativeHeight="251659264" behindDoc="1" locked="0" layoutInCell="1" allowOverlap="1" wp14:anchorId="752B5824" wp14:editId="6FF45E88">
                <wp:simplePos x="0" y="0"/>
                <wp:positionH relativeFrom="margin">
                  <wp:posOffset>-15240</wp:posOffset>
                </wp:positionH>
                <wp:positionV relativeFrom="paragraph">
                  <wp:posOffset>160655</wp:posOffset>
                </wp:positionV>
                <wp:extent cx="5791200" cy="666750"/>
                <wp:effectExtent l="0" t="0" r="0" b="0"/>
                <wp:wrapNone/>
                <wp:docPr id="2" name="Obdélník 2"/>
                <wp:cNvGraphicFramePr/>
                <a:graphic xmlns:a="http://schemas.openxmlformats.org/drawingml/2006/main">
                  <a:graphicData uri="http://schemas.microsoft.com/office/word/2010/wordprocessingShape">
                    <wps:wsp>
                      <wps:cNvSpPr/>
                      <wps:spPr>
                        <a:xfrm>
                          <a:off x="0" y="0"/>
                          <a:ext cx="5791200" cy="666750"/>
                        </a:xfrm>
                        <a:prstGeom prst="rect">
                          <a:avLst/>
                        </a:prstGeom>
                        <a:solidFill>
                          <a:srgbClr val="9CC2E5"/>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29DED" id="Obdélník 2" o:spid="_x0000_s1026" style="position:absolute;margin-left:-1.2pt;margin-top:12.65pt;width:456pt;height: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" fillcolor="#9cc2e5" stroked="f" strokeweight="2pt">
                <w10:wrap anchorx="margin"/>
              </v:rect>
            </w:pict>
          </mc:Fallback>
        </mc:AlternateContent>
      </w:r>
    </w:p>
    <w:p w14:paraId="228D60AA" w14:textId="77777777" w:rsidR="00025FE7" w:rsidRPr="002318A5" w:rsidRDefault="00025FE7" w:rsidP="00025FE7">
      <w:pPr>
        <w:ind w:left="170" w:right="227"/>
        <w:jc w:val="both"/>
        <w:rPr>
          <w:rFonts w:ascii="Arial" w:hAnsi="Arial" w:cs="Arial"/>
          <w:sz w:val="22"/>
          <w:szCs w:val="22"/>
        </w:rPr>
      </w:pPr>
      <w:r w:rsidRPr="002318A5">
        <w:rPr>
          <w:rFonts w:ascii="Arial" w:hAnsi="Arial" w:cs="Arial"/>
          <w:b/>
          <w:bCs/>
          <w:sz w:val="22"/>
          <w:szCs w:val="22"/>
        </w:rPr>
        <w:t>UPOZORNĚNÍ:</w:t>
      </w:r>
    </w:p>
    <w:p w14:paraId="1C8C5576" w14:textId="27164796" w:rsidR="00822000" w:rsidRPr="009A4CBD" w:rsidRDefault="00822000" w:rsidP="00822000">
      <w:pPr>
        <w:spacing w:before="240" w:after="240"/>
        <w:jc w:val="both"/>
        <w:rPr>
          <w:rFonts w:ascii="Arial" w:hAnsi="Arial" w:cs="Arial"/>
          <w:sz w:val="22"/>
          <w:szCs w:val="22"/>
        </w:rPr>
      </w:pPr>
      <w:r w:rsidRPr="009A4CBD">
        <w:rPr>
          <w:rFonts w:ascii="Arial" w:hAnsi="Arial" w:cs="Arial"/>
          <w:sz w:val="22"/>
          <w:szCs w:val="22"/>
        </w:rPr>
        <w:t>Hodnoty jsou vykazovány jako prostý součet</w:t>
      </w:r>
      <w:r w:rsidR="003121B6">
        <w:rPr>
          <w:rFonts w:ascii="Arial" w:hAnsi="Arial" w:cs="Arial"/>
          <w:sz w:val="22"/>
          <w:szCs w:val="22"/>
        </w:rPr>
        <w:t xml:space="preserve"> </w:t>
      </w:r>
      <w:r w:rsidR="00BC3E21">
        <w:rPr>
          <w:rFonts w:ascii="Arial" w:hAnsi="Arial" w:cs="Arial"/>
          <w:sz w:val="22"/>
          <w:szCs w:val="22"/>
        </w:rPr>
        <w:t xml:space="preserve">délek </w:t>
      </w:r>
      <w:r w:rsidR="003121B6">
        <w:rPr>
          <w:rFonts w:ascii="Arial" w:hAnsi="Arial" w:cs="Arial"/>
          <w:sz w:val="22"/>
          <w:szCs w:val="22"/>
        </w:rPr>
        <w:t>úseků v km</w:t>
      </w:r>
      <w:r w:rsidRPr="009A4CBD">
        <w:rPr>
          <w:rFonts w:ascii="Arial" w:hAnsi="Arial" w:cs="Arial"/>
          <w:sz w:val="22"/>
          <w:szCs w:val="22"/>
        </w:rPr>
        <w:t xml:space="preserve">. Hodnota </w:t>
      </w:r>
      <w:r w:rsidRPr="003121B6">
        <w:rPr>
          <w:rFonts w:ascii="Arial" w:hAnsi="Arial" w:cs="Arial"/>
          <w:sz w:val="22"/>
          <w:szCs w:val="22"/>
        </w:rPr>
        <w:t xml:space="preserve">je vykazována </w:t>
      </w:r>
      <w:r w:rsidR="00204E05" w:rsidRPr="003121B6">
        <w:rPr>
          <w:rFonts w:ascii="Arial" w:hAnsi="Arial" w:cs="Arial"/>
          <w:sz w:val="22"/>
          <w:szCs w:val="22"/>
        </w:rPr>
        <w:t xml:space="preserve">s přesností na </w:t>
      </w:r>
      <w:r w:rsidR="003121B6" w:rsidRPr="003121B6">
        <w:rPr>
          <w:rFonts w:ascii="Arial" w:hAnsi="Arial" w:cs="Arial"/>
          <w:sz w:val="22"/>
          <w:szCs w:val="22"/>
        </w:rPr>
        <w:t xml:space="preserve">3 </w:t>
      </w:r>
      <w:r w:rsidR="00204E05" w:rsidRPr="003121B6">
        <w:rPr>
          <w:rFonts w:ascii="Arial" w:hAnsi="Arial" w:cs="Arial"/>
          <w:sz w:val="22"/>
          <w:szCs w:val="22"/>
        </w:rPr>
        <w:t>desetinná místa</w:t>
      </w:r>
      <w:r w:rsidR="003121B6" w:rsidRPr="003121B6">
        <w:rPr>
          <w:rFonts w:ascii="Arial" w:hAnsi="Arial" w:cs="Arial"/>
          <w:sz w:val="22"/>
          <w:szCs w:val="22"/>
        </w:rPr>
        <w:t>.</w:t>
      </w:r>
    </w:p>
    <w:p w14:paraId="1A1DF0D7" w14:textId="135BB79D" w:rsidR="00DC13E3" w:rsidRDefault="00DC13E3" w:rsidP="00DC13E3">
      <w:pPr>
        <w:keepNext/>
        <w:spacing w:before="240"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09538449" w14:textId="171828C6" w:rsidR="00373858" w:rsidRPr="00DC13E3" w:rsidRDefault="00C81922" w:rsidP="00DC13E3">
      <w:pPr>
        <w:spacing w:after="240" w:line="276" w:lineRule="auto"/>
        <w:jc w:val="both"/>
        <w:rPr>
          <w:rStyle w:val="Zdraznnintenzivn"/>
          <w:rFonts w:ascii="Arial" w:hAnsi="Arial" w:cs="Arial"/>
          <w:b/>
          <w:bCs/>
          <w:i w:val="0"/>
          <w:iCs w:val="0"/>
          <w:color w:val="auto"/>
          <w:sz w:val="22"/>
          <w:szCs w:val="22"/>
        </w:rPr>
      </w:pPr>
      <w:r>
        <w:rPr>
          <w:rFonts w:ascii="Arial" w:hAnsi="Arial" w:cs="Arial"/>
          <w:b/>
          <w:bCs/>
          <w:sz w:val="22"/>
          <w:szCs w:val="22"/>
        </w:rPr>
        <w:t>Výchozí</w:t>
      </w:r>
      <w:r w:rsidRPr="009A4CBD">
        <w:rPr>
          <w:rFonts w:ascii="Arial" w:hAnsi="Arial" w:cs="Arial"/>
          <w:b/>
          <w:bCs/>
          <w:sz w:val="22"/>
          <w:szCs w:val="22"/>
        </w:rPr>
        <w:t xml:space="preserve"> hodnota:</w:t>
      </w:r>
      <w:r w:rsidR="003121B6">
        <w:rPr>
          <w:rFonts w:ascii="Arial" w:hAnsi="Arial" w:cs="Arial"/>
          <w:b/>
          <w:bCs/>
          <w:sz w:val="22"/>
          <w:szCs w:val="22"/>
        </w:rPr>
        <w:t xml:space="preserve"> </w:t>
      </w:r>
      <w:r w:rsidR="00DC13E3" w:rsidRPr="00DC13E3">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0A13694C" w14:textId="467AA3E5" w:rsidR="008A2193" w:rsidRPr="009A4CBD" w:rsidRDefault="008A2193" w:rsidP="00822000">
      <w:pPr>
        <w:spacing w:after="20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sidR="00D3630F" w:rsidRPr="00D3630F">
        <w:rPr>
          <w:rFonts w:ascii="Arial" w:hAnsi="Arial" w:cs="Arial"/>
          <w:sz w:val="22"/>
          <w:szCs w:val="22"/>
        </w:rPr>
        <w:t>délka nově vzniklých, modernizovaných nebo rekonstruovaných úseků vyhrazených komunikací pro cyklisty, které se žadatel zavazuje vybudovat, zmodernizovat nebo zrekonstruovat.</w:t>
      </w:r>
      <w:r w:rsidR="004C067A" w:rsidRPr="004C067A">
        <w:rPr>
          <w:rFonts w:ascii="Arial" w:hAnsi="Arial" w:cs="Arial"/>
          <w:sz w:val="22"/>
          <w:szCs w:val="22"/>
        </w:rPr>
        <w:t xml:space="preserve"> </w:t>
      </w:r>
      <w:r w:rsidR="00D85674" w:rsidRPr="004C067A">
        <w:rPr>
          <w:rFonts w:ascii="Arial" w:hAnsi="Arial" w:cs="Arial"/>
          <w:b/>
          <w:bCs/>
          <w:sz w:val="22"/>
          <w:szCs w:val="22"/>
        </w:rPr>
        <w:t>Žadatel v</w:t>
      </w:r>
      <w:r w:rsidR="00236420">
        <w:rPr>
          <w:rFonts w:ascii="Arial" w:hAnsi="Arial" w:cs="Arial"/>
          <w:b/>
          <w:bCs/>
          <w:sz w:val="22"/>
          <w:szCs w:val="22"/>
        </w:rPr>
        <w:t> </w:t>
      </w:r>
      <w:r w:rsidR="00236420" w:rsidRPr="00B6719E">
        <w:rPr>
          <w:rFonts w:ascii="Arial" w:hAnsi="Arial" w:cs="Arial"/>
          <w:b/>
          <w:bCs/>
          <w:sz w:val="22"/>
          <w:szCs w:val="22"/>
        </w:rPr>
        <w:t>Podkladech pro hodnocení</w:t>
      </w:r>
      <w:r w:rsidR="002C04B8" w:rsidRPr="004C067A">
        <w:rPr>
          <w:rFonts w:ascii="Arial" w:hAnsi="Arial" w:cs="Arial"/>
          <w:b/>
          <w:bCs/>
          <w:sz w:val="22"/>
          <w:szCs w:val="22"/>
        </w:rPr>
        <w:t xml:space="preserve"> </w:t>
      </w:r>
      <w:r w:rsidR="00D85674" w:rsidRPr="004C067A">
        <w:rPr>
          <w:rFonts w:ascii="Arial" w:hAnsi="Arial" w:cs="Arial"/>
          <w:b/>
          <w:bCs/>
          <w:sz w:val="22"/>
          <w:szCs w:val="22"/>
        </w:rPr>
        <w:t xml:space="preserve">uvede způsob výpočtu </w:t>
      </w:r>
      <w:r w:rsidR="001E60CB" w:rsidRPr="004C067A">
        <w:rPr>
          <w:rFonts w:ascii="Arial" w:hAnsi="Arial" w:cs="Arial"/>
          <w:b/>
          <w:bCs/>
          <w:sz w:val="22"/>
          <w:szCs w:val="22"/>
        </w:rPr>
        <w:t>tak</w:t>
      </w:r>
      <w:r w:rsidR="00D85674" w:rsidRPr="004C067A">
        <w:rPr>
          <w:rFonts w:ascii="Arial" w:hAnsi="Arial" w:cs="Arial"/>
          <w:b/>
          <w:bCs/>
          <w:sz w:val="22"/>
          <w:szCs w:val="22"/>
        </w:rPr>
        <w:t xml:space="preserve">, </w:t>
      </w:r>
      <w:r w:rsidR="00D85674" w:rsidRPr="004C067A">
        <w:rPr>
          <w:rFonts w:ascii="Arial" w:hAnsi="Arial" w:cs="Arial"/>
          <w:b/>
          <w:bCs/>
          <w:sz w:val="22"/>
          <w:szCs w:val="22"/>
        </w:rPr>
        <w:lastRenderedPageBreak/>
        <w:t>aby jeho výsledek odpovídal cílové hodnotě a bylo možné ho ověřit.</w:t>
      </w:r>
      <w:r w:rsidR="007A3276" w:rsidRPr="004C067A">
        <w:rPr>
          <w:rFonts w:ascii="Arial" w:hAnsi="Arial" w:cs="Arial"/>
          <w:b/>
          <w:bCs/>
          <w:sz w:val="22"/>
          <w:szCs w:val="22"/>
        </w:rPr>
        <w:t xml:space="preserve"> </w:t>
      </w:r>
      <w:r w:rsidR="007A3276" w:rsidRPr="004C067A">
        <w:rPr>
          <w:rFonts w:ascii="Arial" w:hAnsi="Arial" w:cs="Arial"/>
          <w:sz w:val="22"/>
          <w:szCs w:val="22"/>
        </w:rPr>
        <w:t xml:space="preserve">Tuto hodnotu se příjemce zavazuje naplnit k datu </w:t>
      </w:r>
      <w:r w:rsidR="007A3276" w:rsidRPr="004C067A">
        <w:rPr>
          <w:rFonts w:ascii="Arial" w:hAnsi="Arial" w:cs="Arial"/>
          <w:color w:val="000000" w:themeColor="text1"/>
          <w:sz w:val="22"/>
          <w:szCs w:val="22"/>
        </w:rPr>
        <w:t>ukončení realizace</w:t>
      </w:r>
      <w:r w:rsidR="002C04B8" w:rsidRPr="004C067A">
        <w:rPr>
          <w:rFonts w:ascii="Arial" w:hAnsi="Arial" w:cs="Arial"/>
          <w:color w:val="000000" w:themeColor="text1"/>
          <w:sz w:val="22"/>
          <w:szCs w:val="22"/>
        </w:rPr>
        <w:t xml:space="preserve"> projektu</w:t>
      </w:r>
      <w:r w:rsidR="004C067A">
        <w:rPr>
          <w:rFonts w:ascii="Arial" w:hAnsi="Arial" w:cs="Arial"/>
          <w:color w:val="000000" w:themeColor="text1"/>
          <w:sz w:val="22"/>
          <w:szCs w:val="22"/>
        </w:rPr>
        <w:t>.</w:t>
      </w:r>
      <w:r w:rsidR="0084772A" w:rsidRPr="009A4CBD">
        <w:rPr>
          <w:rFonts w:ascii="Arial" w:hAnsi="Arial" w:cs="Arial"/>
          <w:sz w:val="22"/>
          <w:szCs w:val="22"/>
        </w:rPr>
        <w:t xml:space="preserve"> </w:t>
      </w:r>
    </w:p>
    <w:p w14:paraId="5B954E88" w14:textId="230EAE35" w:rsidR="00184DE7" w:rsidRPr="004C067A" w:rsidRDefault="0084772A" w:rsidP="00822000">
      <w:pPr>
        <w:spacing w:after="200" w:line="276" w:lineRule="auto"/>
        <w:jc w:val="both"/>
        <w:rPr>
          <w:rFonts w:ascii="Arial" w:hAnsi="Arial" w:cs="Arial"/>
          <w:color w:val="FF0000"/>
          <w:sz w:val="22"/>
          <w:szCs w:val="22"/>
        </w:rPr>
      </w:pPr>
      <w:r w:rsidRPr="004C067A">
        <w:rPr>
          <w:rFonts w:ascii="Arial" w:hAnsi="Arial" w:cs="Arial"/>
          <w:b/>
          <w:bCs/>
          <w:sz w:val="22"/>
          <w:szCs w:val="22"/>
        </w:rPr>
        <w:t xml:space="preserve">Datum </w:t>
      </w:r>
      <w:r w:rsidR="0083531C" w:rsidRPr="004C067A">
        <w:rPr>
          <w:rFonts w:ascii="Arial" w:hAnsi="Arial" w:cs="Arial"/>
          <w:b/>
          <w:bCs/>
          <w:sz w:val="22"/>
          <w:szCs w:val="22"/>
        </w:rPr>
        <w:t>cílové hodnoty</w:t>
      </w:r>
      <w:r w:rsidRPr="004C067A">
        <w:rPr>
          <w:rFonts w:ascii="Arial" w:hAnsi="Arial" w:cs="Arial"/>
          <w:b/>
          <w:bCs/>
          <w:sz w:val="22"/>
          <w:szCs w:val="22"/>
        </w:rPr>
        <w:t>:</w:t>
      </w:r>
      <w:r w:rsidRPr="004C067A">
        <w:rPr>
          <w:rFonts w:ascii="Arial" w:hAnsi="Arial" w:cs="Arial"/>
          <w:sz w:val="22"/>
          <w:szCs w:val="22"/>
        </w:rPr>
        <w:t xml:space="preserve"> </w:t>
      </w:r>
      <w:r w:rsidR="000465C4" w:rsidRPr="004C067A">
        <w:rPr>
          <w:rFonts w:ascii="Arial" w:hAnsi="Arial" w:cs="Arial"/>
          <w:sz w:val="22"/>
          <w:szCs w:val="22"/>
        </w:rPr>
        <w:t xml:space="preserve">Žadatel </w:t>
      </w:r>
      <w:r w:rsidRPr="004C067A">
        <w:rPr>
          <w:rFonts w:ascii="Arial" w:hAnsi="Arial" w:cs="Arial"/>
          <w:sz w:val="22"/>
          <w:szCs w:val="22"/>
        </w:rPr>
        <w:t>v žádosti o podporu stanovuje jako datum ukončení realizace</w:t>
      </w:r>
      <w:r w:rsidR="000465C4" w:rsidRPr="004C067A">
        <w:rPr>
          <w:rFonts w:ascii="Arial" w:hAnsi="Arial" w:cs="Arial"/>
          <w:sz w:val="22"/>
          <w:szCs w:val="22"/>
        </w:rPr>
        <w:t xml:space="preserve"> projekt</w:t>
      </w:r>
      <w:r w:rsidR="004C067A" w:rsidRPr="004C067A">
        <w:rPr>
          <w:rFonts w:ascii="Arial" w:hAnsi="Arial" w:cs="Arial"/>
          <w:sz w:val="22"/>
          <w:szCs w:val="22"/>
        </w:rPr>
        <w:t>u</w:t>
      </w:r>
      <w:r w:rsidR="00184DE7" w:rsidRPr="004C067A">
        <w:rPr>
          <w:rFonts w:ascii="Arial" w:hAnsi="Arial" w:cs="Arial"/>
          <w:sz w:val="22"/>
          <w:szCs w:val="22"/>
        </w:rPr>
        <w:t xml:space="preserve">. </w:t>
      </w:r>
      <w:r w:rsidR="008E4F0B" w:rsidRPr="004C067A">
        <w:rPr>
          <w:rFonts w:ascii="Arial" w:hAnsi="Arial" w:cs="Arial"/>
          <w:sz w:val="22"/>
          <w:szCs w:val="22"/>
        </w:rPr>
        <w:t>Datum se považuje za Rozhodné datum pro naplnění indikátoru a jsou k</w:t>
      </w:r>
      <w:r w:rsidR="0050415A" w:rsidRPr="004C067A">
        <w:rPr>
          <w:rFonts w:ascii="Arial" w:hAnsi="Arial" w:cs="Arial"/>
          <w:sz w:val="22"/>
          <w:szCs w:val="22"/>
        </w:rPr>
        <w:t> </w:t>
      </w:r>
      <w:r w:rsidR="008E4F0B" w:rsidRPr="004C067A">
        <w:rPr>
          <w:rFonts w:ascii="Arial" w:hAnsi="Arial" w:cs="Arial"/>
          <w:sz w:val="22"/>
          <w:szCs w:val="22"/>
        </w:rPr>
        <w:t xml:space="preserve">němu vztahovány další postupy v době udržitelnosti. </w:t>
      </w:r>
    </w:p>
    <w:p w14:paraId="42505901" w14:textId="2BCAEE01" w:rsidR="008E4F0B" w:rsidRDefault="008E4F0B" w:rsidP="00822000">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50415A">
        <w:rPr>
          <w:rFonts w:ascii="Arial" w:hAnsi="Arial" w:cs="Arial"/>
          <w:sz w:val="22"/>
          <w:szCs w:val="22"/>
        </w:rPr>
        <w:t> </w:t>
      </w:r>
      <w:r w:rsidRPr="008E4F0B">
        <w:rPr>
          <w:rFonts w:ascii="Arial" w:hAnsi="Arial" w:cs="Arial"/>
          <w:sz w:val="22"/>
          <w:szCs w:val="22"/>
        </w:rPr>
        <w:t>výše uvedeným.</w:t>
      </w:r>
    </w:p>
    <w:p w14:paraId="0990AFD1" w14:textId="1D9379DB" w:rsidR="008A2193" w:rsidRDefault="008A2193" w:rsidP="00822000">
      <w:pPr>
        <w:spacing w:after="200" w:line="276" w:lineRule="auto"/>
        <w:jc w:val="both"/>
        <w:rPr>
          <w:rFonts w:ascii="Arial" w:hAnsi="Arial" w:cs="Arial"/>
          <w:sz w:val="22"/>
          <w:szCs w:val="22"/>
        </w:rPr>
      </w:pPr>
      <w:r w:rsidRPr="009A4CBD">
        <w:rPr>
          <w:rFonts w:ascii="Arial" w:hAnsi="Arial" w:cs="Arial"/>
          <w:b/>
          <w:bCs/>
          <w:sz w:val="22"/>
          <w:szCs w:val="22"/>
        </w:rPr>
        <w:t>Dosažená hodnota:</w:t>
      </w:r>
      <w:r w:rsidRPr="009A4CBD">
        <w:rPr>
          <w:rFonts w:ascii="Arial" w:hAnsi="Arial" w:cs="Arial"/>
          <w:sz w:val="22"/>
          <w:szCs w:val="22"/>
        </w:rPr>
        <w:t xml:space="preserve"> </w:t>
      </w:r>
      <w:r w:rsidR="00D3630F">
        <w:rPr>
          <w:rFonts w:ascii="Arial" w:hAnsi="Arial" w:cs="Arial"/>
          <w:sz w:val="22"/>
          <w:szCs w:val="22"/>
        </w:rPr>
        <w:t xml:space="preserve">délka </w:t>
      </w:r>
      <w:r w:rsidR="00D3630F" w:rsidRPr="00D3630F">
        <w:rPr>
          <w:rFonts w:ascii="Arial" w:hAnsi="Arial" w:cs="Arial"/>
          <w:sz w:val="22"/>
          <w:szCs w:val="22"/>
        </w:rPr>
        <w:t>nově vzniklých, modernizovaných nebo rekonstruovaných úseků vyhrazených komunikací pro cyklisty, které byly v rámci projektu skutečně vybudovány, zmodernizovány nebo zrekonstruovány</w:t>
      </w:r>
      <w:r w:rsidR="004C067A" w:rsidRPr="004C067A">
        <w:rPr>
          <w:rFonts w:ascii="Arial" w:hAnsi="Arial" w:cs="Arial"/>
          <w:sz w:val="22"/>
          <w:szCs w:val="22"/>
        </w:rPr>
        <w:t>.</w:t>
      </w:r>
      <w:r w:rsidR="007A3276" w:rsidRPr="009A4CBD">
        <w:rPr>
          <w:rFonts w:ascii="Arial" w:hAnsi="Arial" w:cs="Arial"/>
          <w:sz w:val="22"/>
          <w:szCs w:val="22"/>
        </w:rPr>
        <w:t xml:space="preserve"> </w:t>
      </w:r>
      <w:r w:rsidR="003E3EA1" w:rsidRPr="003E3EA1">
        <w:rPr>
          <w:rFonts w:ascii="Arial" w:hAnsi="Arial" w:cs="Arial"/>
          <w:sz w:val="22"/>
          <w:szCs w:val="22"/>
        </w:rPr>
        <w:t xml:space="preserve">Hodnotu je nutné poprvé vykázat nejpozději k Rozhodnému datu, </w:t>
      </w:r>
      <w:r w:rsidR="003E3EA1" w:rsidRPr="00690293">
        <w:rPr>
          <w:rFonts w:ascii="Arial" w:hAnsi="Arial" w:cs="Arial"/>
          <w:sz w:val="22"/>
          <w:szCs w:val="22"/>
        </w:rPr>
        <w:t>ted</w:t>
      </w:r>
      <w:r w:rsidR="003E3EA1" w:rsidRPr="004C067A">
        <w:rPr>
          <w:rFonts w:ascii="Arial" w:hAnsi="Arial" w:cs="Arial"/>
          <w:sz w:val="22"/>
          <w:szCs w:val="22"/>
        </w:rPr>
        <w:t>y v Závěrečné zprávě o realizaci</w:t>
      </w:r>
      <w:r w:rsidR="007A7B31" w:rsidRPr="004C067A">
        <w:rPr>
          <w:rFonts w:ascii="Arial" w:hAnsi="Arial" w:cs="Arial"/>
          <w:sz w:val="22"/>
          <w:szCs w:val="22"/>
        </w:rPr>
        <w:t xml:space="preserve"> projektu</w:t>
      </w:r>
      <w:r w:rsidR="00690293" w:rsidRPr="004C067A">
        <w:rPr>
          <w:rFonts w:ascii="Arial" w:hAnsi="Arial" w:cs="Arial"/>
          <w:sz w:val="22"/>
          <w:szCs w:val="22"/>
        </w:rPr>
        <w:t xml:space="preserve"> k datu ukončení realizace projektu</w:t>
      </w:r>
      <w:r w:rsidR="004C067A" w:rsidRPr="004C067A">
        <w:rPr>
          <w:rFonts w:ascii="Arial" w:hAnsi="Arial" w:cs="Arial"/>
          <w:sz w:val="22"/>
          <w:szCs w:val="22"/>
        </w:rPr>
        <w:t>.</w:t>
      </w:r>
    </w:p>
    <w:p w14:paraId="4011E333" w14:textId="7CCD0BA8" w:rsidR="003E3EA1" w:rsidRPr="009A4CBD" w:rsidRDefault="003E3EA1" w:rsidP="00822000">
      <w:pPr>
        <w:spacing w:after="200" w:line="276" w:lineRule="auto"/>
        <w:jc w:val="both"/>
        <w:rPr>
          <w:rFonts w:ascii="Arial" w:hAnsi="Arial" w:cs="Arial"/>
          <w:sz w:val="22"/>
          <w:szCs w:val="22"/>
        </w:rPr>
      </w:pPr>
      <w:r w:rsidRPr="003E3EA1">
        <w:rPr>
          <w:rFonts w:ascii="Arial" w:hAnsi="Arial" w:cs="Arial"/>
          <w:sz w:val="22"/>
          <w:szCs w:val="22"/>
        </w:rPr>
        <w:t>Dosažená hodnota vykazovaná po Rozhodném datu se již váže k</w:t>
      </w:r>
      <w:r w:rsidR="008E4F0B">
        <w:rPr>
          <w:rFonts w:ascii="Arial" w:hAnsi="Arial" w:cs="Arial"/>
          <w:sz w:val="22"/>
          <w:szCs w:val="22"/>
        </w:rPr>
        <w:t xml:space="preserve"> prokázání </w:t>
      </w:r>
      <w:r w:rsidRPr="003E3EA1">
        <w:rPr>
          <w:rFonts w:ascii="Arial" w:hAnsi="Arial" w:cs="Arial"/>
          <w:sz w:val="22"/>
          <w:szCs w:val="22"/>
        </w:rPr>
        <w:t xml:space="preserve">udržování výstupu projektu a je vykazována ve Zprávách o </w:t>
      </w:r>
      <w:r w:rsidRPr="004C067A">
        <w:rPr>
          <w:rFonts w:ascii="Arial" w:hAnsi="Arial" w:cs="Arial"/>
          <w:sz w:val="22"/>
          <w:szCs w:val="22"/>
        </w:rPr>
        <w:t>udržitelnosti projektu</w:t>
      </w:r>
      <w:r w:rsidRPr="004C067A">
        <w:rPr>
          <w:rFonts w:ascii="Arial" w:hAnsi="Arial" w:cs="Arial"/>
          <w:color w:val="FF0000"/>
          <w:sz w:val="22"/>
          <w:szCs w:val="22"/>
        </w:rPr>
        <w:t xml:space="preserve"> </w:t>
      </w:r>
      <w:r w:rsidRPr="004C067A">
        <w:rPr>
          <w:rFonts w:ascii="Arial" w:hAnsi="Arial" w:cs="Arial"/>
          <w:sz w:val="22"/>
          <w:szCs w:val="22"/>
        </w:rPr>
        <w:t>pouze v případě změny výše dosažené hodnoty, a to včetně popisu, kdy a proč ke změně došlo.</w:t>
      </w:r>
    </w:p>
    <w:p w14:paraId="4A51BDF5" w14:textId="6CCCF703" w:rsidR="00D85674" w:rsidRPr="000465C4" w:rsidRDefault="00D85674" w:rsidP="00DC13E3">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7A3276" w:rsidRPr="009A4CBD" w14:paraId="382CF7AF" w14:textId="7AC4BD8A" w:rsidTr="00FE118B">
        <w:trPr>
          <w:trHeight w:val="1793"/>
        </w:trPr>
        <w:tc>
          <w:tcPr>
            <w:tcW w:w="4575" w:type="dxa"/>
          </w:tcPr>
          <w:p w14:paraId="02234105" w14:textId="5F77FB25" w:rsidR="007A3276" w:rsidRPr="00302107" w:rsidRDefault="007A3276" w:rsidP="00822000">
            <w:pPr>
              <w:spacing w:line="276" w:lineRule="auto"/>
              <w:ind w:left="52"/>
              <w:jc w:val="both"/>
              <w:rPr>
                <w:rFonts w:ascii="Arial" w:hAnsi="Arial" w:cs="Arial"/>
                <w:b/>
                <w:bCs/>
                <w:sz w:val="22"/>
                <w:szCs w:val="22"/>
              </w:rPr>
            </w:pPr>
            <w:r w:rsidRPr="00FD41E1">
              <w:rPr>
                <w:rFonts w:ascii="Arial" w:hAnsi="Arial" w:cs="Arial"/>
                <w:b/>
                <w:bCs/>
                <w:sz w:val="22"/>
                <w:szCs w:val="22"/>
              </w:rPr>
              <w:t>V Závěrečné zprávě</w:t>
            </w:r>
            <w:r w:rsidR="007A77B8" w:rsidRPr="00F46A30">
              <w:rPr>
                <w:rFonts w:ascii="Arial" w:hAnsi="Arial" w:cs="Arial"/>
                <w:b/>
                <w:bCs/>
                <w:sz w:val="22"/>
                <w:szCs w:val="22"/>
              </w:rPr>
              <w:t xml:space="preserve"> o realizaci projektu</w:t>
            </w:r>
            <w:r w:rsidRPr="00F46A30">
              <w:rPr>
                <w:rFonts w:ascii="Arial" w:hAnsi="Arial" w:cs="Arial"/>
                <w:b/>
                <w:bCs/>
                <w:sz w:val="22"/>
                <w:szCs w:val="22"/>
              </w:rPr>
              <w:t>:</w:t>
            </w:r>
          </w:p>
          <w:p w14:paraId="1A0B8066" w14:textId="77777777" w:rsidR="007A3276" w:rsidRPr="002318A5" w:rsidRDefault="007A3276" w:rsidP="00E71619">
            <w:pPr>
              <w:pStyle w:val="Odstavecseseznamem"/>
              <w:numPr>
                <w:ilvl w:val="0"/>
                <w:numId w:val="36"/>
              </w:numPr>
              <w:spacing w:after="200"/>
              <w:ind w:left="694"/>
              <w:jc w:val="both"/>
              <w:rPr>
                <w:rFonts w:ascii="Arial" w:hAnsi="Arial" w:cs="Arial"/>
                <w:sz w:val="22"/>
                <w:szCs w:val="22"/>
              </w:rPr>
            </w:pPr>
            <w:r w:rsidRPr="002318A5">
              <w:rPr>
                <w:rFonts w:ascii="Arial" w:hAnsi="Arial" w:cs="Arial"/>
                <w:sz w:val="22"/>
                <w:szCs w:val="22"/>
              </w:rPr>
              <w:t xml:space="preserve">Fotodokumentace </w:t>
            </w:r>
          </w:p>
          <w:p w14:paraId="57BF392A" w14:textId="77777777" w:rsidR="003E3EA1" w:rsidRPr="002318A5" w:rsidRDefault="003E3EA1" w:rsidP="00E71619">
            <w:pPr>
              <w:pStyle w:val="Odstavecseseznamem"/>
              <w:numPr>
                <w:ilvl w:val="0"/>
                <w:numId w:val="36"/>
              </w:numPr>
              <w:jc w:val="both"/>
              <w:rPr>
                <w:rFonts w:ascii="Arial" w:hAnsi="Arial" w:cs="Arial"/>
                <w:sz w:val="22"/>
                <w:szCs w:val="22"/>
              </w:rPr>
            </w:pPr>
            <w:r w:rsidRPr="002318A5">
              <w:rPr>
                <w:rFonts w:ascii="Arial" w:hAnsi="Arial" w:cs="Arial"/>
                <w:sz w:val="22"/>
                <w:szCs w:val="22"/>
              </w:rPr>
              <w:t>Doklad o předání a převzetí díla</w:t>
            </w:r>
          </w:p>
          <w:p w14:paraId="2CB24960" w14:textId="77777777" w:rsidR="00663903" w:rsidRDefault="003E3EA1" w:rsidP="00642FCC">
            <w:pPr>
              <w:pStyle w:val="Odstavecseseznamem"/>
              <w:numPr>
                <w:ilvl w:val="0"/>
                <w:numId w:val="36"/>
              </w:numPr>
              <w:jc w:val="both"/>
              <w:rPr>
                <w:rFonts w:ascii="Arial" w:hAnsi="Arial" w:cs="Arial"/>
                <w:sz w:val="22"/>
                <w:szCs w:val="22"/>
              </w:rPr>
            </w:pPr>
            <w:r w:rsidRPr="002318A5">
              <w:rPr>
                <w:rFonts w:ascii="Arial" w:hAnsi="Arial" w:cs="Arial"/>
                <w:sz w:val="22"/>
                <w:szCs w:val="22"/>
              </w:rPr>
              <w:t>Kolaudační souhlas</w:t>
            </w:r>
            <w:r w:rsidR="0050415A" w:rsidRPr="002318A5">
              <w:rPr>
                <w:rFonts w:ascii="Arial" w:hAnsi="Arial" w:cs="Arial"/>
                <w:sz w:val="22"/>
                <w:szCs w:val="22"/>
              </w:rPr>
              <w:t xml:space="preserve"> nebo</w:t>
            </w:r>
            <w:r w:rsidRPr="002318A5">
              <w:rPr>
                <w:rFonts w:ascii="Arial" w:hAnsi="Arial" w:cs="Arial"/>
                <w:sz w:val="22"/>
                <w:szCs w:val="22"/>
              </w:rPr>
              <w:t xml:space="preserve"> kolaudační rozhodnutí nebo rozhodnutí o povolení zkušebního provozu nebo rozhodnutí o povolení k předčasnému užívání stavby</w:t>
            </w:r>
          </w:p>
          <w:p w14:paraId="6BCD25B8" w14:textId="4E2E280E" w:rsidR="00845527" w:rsidRPr="002318A5" w:rsidRDefault="00845527" w:rsidP="00642FCC">
            <w:pPr>
              <w:pStyle w:val="Odstavecseseznamem"/>
              <w:numPr>
                <w:ilvl w:val="0"/>
                <w:numId w:val="36"/>
              </w:numPr>
              <w:jc w:val="both"/>
              <w:rPr>
                <w:rFonts w:ascii="Arial" w:hAnsi="Arial" w:cs="Arial"/>
                <w:sz w:val="22"/>
                <w:szCs w:val="22"/>
              </w:rPr>
            </w:pPr>
            <w:r>
              <w:rPr>
                <w:rFonts w:ascii="Arial" w:hAnsi="Arial" w:cs="Arial"/>
                <w:sz w:val="22"/>
                <w:szCs w:val="22"/>
              </w:rPr>
              <w:t>S</w:t>
            </w:r>
            <w:r w:rsidRPr="00845527">
              <w:rPr>
                <w:rFonts w:ascii="Arial" w:hAnsi="Arial" w:cs="Arial"/>
                <w:sz w:val="22"/>
                <w:szCs w:val="22"/>
              </w:rPr>
              <w:t>ituační výkres se zakreslenou osou a staničením realizované vyhrazené komunikace pro cyklisty minimálně v měřítku katastrální mapy</w:t>
            </w:r>
          </w:p>
        </w:tc>
        <w:tc>
          <w:tcPr>
            <w:tcW w:w="4691" w:type="dxa"/>
          </w:tcPr>
          <w:p w14:paraId="3BFA7394" w14:textId="61E2DF7C" w:rsidR="007A3276" w:rsidRPr="00302107" w:rsidRDefault="007A3276" w:rsidP="00A930DE">
            <w:pPr>
              <w:spacing w:line="276" w:lineRule="auto"/>
              <w:jc w:val="both"/>
              <w:rPr>
                <w:rFonts w:ascii="Arial" w:hAnsi="Arial" w:cs="Arial"/>
                <w:b/>
                <w:bCs/>
                <w:sz w:val="22"/>
                <w:szCs w:val="22"/>
              </w:rPr>
            </w:pPr>
            <w:r w:rsidRPr="00FD41E1">
              <w:rPr>
                <w:rFonts w:ascii="Arial" w:hAnsi="Arial" w:cs="Arial"/>
                <w:b/>
                <w:bCs/>
                <w:sz w:val="22"/>
                <w:szCs w:val="22"/>
              </w:rPr>
              <w:t xml:space="preserve">V </w:t>
            </w:r>
            <w:r w:rsidR="00291A5A" w:rsidRPr="00F46A30">
              <w:rPr>
                <w:rFonts w:ascii="Arial" w:hAnsi="Arial" w:cs="Arial"/>
                <w:b/>
                <w:bCs/>
                <w:sz w:val="22"/>
                <w:szCs w:val="22"/>
              </w:rPr>
              <w:t>1.</w:t>
            </w:r>
            <w:r w:rsidRPr="00F46A30">
              <w:rPr>
                <w:rFonts w:ascii="Arial" w:hAnsi="Arial" w:cs="Arial"/>
                <w:b/>
                <w:bCs/>
                <w:sz w:val="22"/>
                <w:szCs w:val="22"/>
              </w:rPr>
              <w:t xml:space="preserve"> Zprávě o udržitelnosti projektu:</w:t>
            </w:r>
            <w:r w:rsidRPr="00302107">
              <w:rPr>
                <w:rFonts w:ascii="Arial" w:hAnsi="Arial" w:cs="Arial"/>
                <w:b/>
                <w:bCs/>
                <w:sz w:val="28"/>
                <w:szCs w:val="28"/>
              </w:rPr>
              <w:t xml:space="preserve"> </w:t>
            </w:r>
          </w:p>
          <w:p w14:paraId="238CDBB1" w14:textId="1614DD83" w:rsidR="003E3EA1" w:rsidRPr="002318A5" w:rsidRDefault="003E3EA1" w:rsidP="00E71619">
            <w:pPr>
              <w:pStyle w:val="Odstavecseseznamem"/>
              <w:numPr>
                <w:ilvl w:val="0"/>
                <w:numId w:val="36"/>
              </w:numPr>
              <w:rPr>
                <w:rFonts w:ascii="Arial" w:hAnsi="Arial" w:cs="Arial"/>
                <w:sz w:val="22"/>
                <w:szCs w:val="22"/>
              </w:rPr>
            </w:pPr>
            <w:r w:rsidRPr="00FD41E1">
              <w:rPr>
                <w:rFonts w:ascii="Arial" w:hAnsi="Arial" w:cs="Arial"/>
                <w:sz w:val="22"/>
                <w:szCs w:val="22"/>
              </w:rPr>
              <w:t>I</w:t>
            </w:r>
            <w:r w:rsidRPr="00F46A30">
              <w:rPr>
                <w:rFonts w:ascii="Arial" w:hAnsi="Arial" w:cs="Arial"/>
                <w:sz w:val="22"/>
                <w:szCs w:val="22"/>
              </w:rPr>
              <w:t>ndikátor je dokládá</w:t>
            </w:r>
            <w:r w:rsidR="001E60CB" w:rsidRPr="00F46A30">
              <w:rPr>
                <w:rFonts w:ascii="Arial" w:hAnsi="Arial" w:cs="Arial"/>
                <w:sz w:val="22"/>
                <w:szCs w:val="22"/>
              </w:rPr>
              <w:t>n</w:t>
            </w:r>
            <w:r w:rsidRPr="00302107">
              <w:rPr>
                <w:rFonts w:ascii="Arial" w:hAnsi="Arial" w:cs="Arial"/>
                <w:sz w:val="22"/>
                <w:szCs w:val="22"/>
              </w:rPr>
              <w:t xml:space="preserve"> vždy v Závěrečné zprávě o realizaci, 1. ZoU nemá žádné pevně stanovené materiály</w:t>
            </w:r>
          </w:p>
          <w:p w14:paraId="68A84354" w14:textId="005E15CB" w:rsidR="007A3276" w:rsidRPr="002318A5" w:rsidRDefault="007A3276" w:rsidP="00822000">
            <w:pPr>
              <w:spacing w:line="276" w:lineRule="auto"/>
              <w:ind w:left="52"/>
              <w:jc w:val="both"/>
              <w:rPr>
                <w:rFonts w:ascii="Arial" w:hAnsi="Arial" w:cs="Arial"/>
                <w:b/>
                <w:bCs/>
                <w:sz w:val="22"/>
                <w:szCs w:val="22"/>
              </w:rPr>
            </w:pPr>
          </w:p>
        </w:tc>
      </w:tr>
    </w:tbl>
    <w:p w14:paraId="4B297C5A" w14:textId="1AA950B9" w:rsidR="0083531C" w:rsidRPr="009A4CBD" w:rsidRDefault="008D3E30" w:rsidP="00A930DE">
      <w:pPr>
        <w:spacing w:before="120" w:after="200" w:line="276" w:lineRule="auto"/>
        <w:jc w:val="both"/>
        <w:rPr>
          <w:rFonts w:ascii="Arial" w:hAnsi="Arial" w:cs="Arial"/>
          <w:sz w:val="22"/>
          <w:szCs w:val="22"/>
        </w:rPr>
      </w:pPr>
      <w:r w:rsidRPr="009A4CBD">
        <w:rPr>
          <w:rFonts w:ascii="Arial" w:hAnsi="Arial" w:cs="Arial"/>
          <w:sz w:val="22"/>
          <w:szCs w:val="22"/>
        </w:rPr>
        <w:t xml:space="preserve">Je </w:t>
      </w:r>
      <w:r w:rsidRPr="00FD41E1">
        <w:rPr>
          <w:rFonts w:ascii="Arial" w:hAnsi="Arial" w:cs="Arial"/>
          <w:sz w:val="22"/>
          <w:szCs w:val="22"/>
        </w:rPr>
        <w:t xml:space="preserve">nutné doložit </w:t>
      </w:r>
      <w:r w:rsidRPr="002318A5">
        <w:rPr>
          <w:rFonts w:ascii="Arial" w:hAnsi="Arial" w:cs="Arial"/>
          <w:sz w:val="22"/>
          <w:szCs w:val="22"/>
        </w:rPr>
        <w:t>všechny</w:t>
      </w:r>
      <w:r w:rsidR="00690293" w:rsidRPr="002318A5">
        <w:rPr>
          <w:rFonts w:ascii="Arial" w:hAnsi="Arial" w:cs="Arial"/>
          <w:sz w:val="22"/>
          <w:szCs w:val="22"/>
        </w:rPr>
        <w:t xml:space="preserve"> </w:t>
      </w:r>
      <w:r w:rsidRPr="002B4560">
        <w:rPr>
          <w:rFonts w:ascii="Arial" w:hAnsi="Arial" w:cs="Arial"/>
          <w:sz w:val="22"/>
          <w:szCs w:val="22"/>
        </w:rPr>
        <w:t>uvedené</w:t>
      </w:r>
      <w:r w:rsidRPr="009A4CBD">
        <w:rPr>
          <w:rFonts w:ascii="Arial" w:hAnsi="Arial" w:cs="Arial"/>
          <w:sz w:val="22"/>
          <w:szCs w:val="22"/>
        </w:rPr>
        <w:t xml:space="preserve"> dokumenty.</w:t>
      </w:r>
      <w:r w:rsidR="00441B57">
        <w:rPr>
          <w:rFonts w:ascii="Arial" w:hAnsi="Arial" w:cs="Arial"/>
          <w:sz w:val="22"/>
          <w:szCs w:val="22"/>
        </w:rPr>
        <w:t xml:space="preserve"> </w:t>
      </w:r>
      <w:r w:rsidR="008E4F0B" w:rsidRPr="008E4F0B">
        <w:rPr>
          <w:rFonts w:ascii="Arial" w:hAnsi="Arial" w:cs="Arial"/>
          <w:sz w:val="22"/>
          <w:szCs w:val="22"/>
        </w:rPr>
        <w:t xml:space="preserve">Pokud v době udržitelnosti dojde ke změnám, bude v nejbližší následující Zprávě o udržitelnosti </w:t>
      </w:r>
      <w:r w:rsidR="007A7B31">
        <w:rPr>
          <w:rFonts w:ascii="Arial" w:hAnsi="Arial" w:cs="Arial"/>
          <w:sz w:val="22"/>
          <w:szCs w:val="22"/>
        </w:rPr>
        <w:t xml:space="preserve">projektu </w:t>
      </w:r>
      <w:r w:rsidR="008E4F0B" w:rsidRPr="008E4F0B">
        <w:rPr>
          <w:rFonts w:ascii="Arial" w:hAnsi="Arial" w:cs="Arial"/>
          <w:sz w:val="22"/>
          <w:szCs w:val="22"/>
        </w:rPr>
        <w:t xml:space="preserve">vykázána aktualizovaná </w:t>
      </w:r>
      <w:r w:rsidR="0050415A">
        <w:rPr>
          <w:rFonts w:ascii="Arial" w:hAnsi="Arial" w:cs="Arial"/>
          <w:sz w:val="22"/>
          <w:szCs w:val="22"/>
        </w:rPr>
        <w:t xml:space="preserve">dosažená </w:t>
      </w:r>
      <w:r w:rsidR="008E4F0B" w:rsidRPr="008E4F0B">
        <w:rPr>
          <w:rFonts w:ascii="Arial" w:hAnsi="Arial" w:cs="Arial"/>
          <w:sz w:val="22"/>
          <w:szCs w:val="22"/>
        </w:rPr>
        <w:t>hodnota, včetně data, od kterého platí. Zároveň budou opětovně dodány materiály pro její ověření.</w:t>
      </w:r>
    </w:p>
    <w:p w14:paraId="3E8FE8FC" w14:textId="77E300DB" w:rsidR="007A3276" w:rsidRPr="000465C4" w:rsidRDefault="00441B57" w:rsidP="00DC13E3">
      <w:pPr>
        <w:keepNext/>
        <w:spacing w:before="240"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TOLERANCE DOSAŽENÍ</w:t>
      </w:r>
      <w:r w:rsidR="00A930DE" w:rsidRPr="000465C4">
        <w:rPr>
          <w:rStyle w:val="Zdraznnintenzivn"/>
          <w:rFonts w:ascii="Arial" w:eastAsiaTheme="minorHAnsi" w:hAnsi="Arial" w:cs="Arial"/>
          <w:b/>
          <w:bCs/>
          <w:caps/>
          <w:color w:val="31849B" w:themeColor="accent5" w:themeShade="BF"/>
          <w:lang w:eastAsia="en-US"/>
        </w:rPr>
        <w:t xml:space="preserve"> </w:t>
      </w:r>
      <w:r w:rsidR="00151D2B" w:rsidRPr="000465C4">
        <w:rPr>
          <w:rStyle w:val="Zdraznnintenzivn"/>
          <w:rFonts w:ascii="Arial" w:eastAsiaTheme="minorHAnsi" w:hAnsi="Arial" w:cs="Arial"/>
          <w:b/>
          <w:bCs/>
          <w:caps/>
          <w:color w:val="31849B" w:themeColor="accent5" w:themeShade="BF"/>
          <w:lang w:eastAsia="en-US"/>
        </w:rPr>
        <w:t xml:space="preserve">a udržení </w:t>
      </w:r>
      <w:r w:rsidR="00107F75" w:rsidRPr="000465C4">
        <w:rPr>
          <w:rStyle w:val="Zdraznnintenzivn"/>
          <w:rFonts w:ascii="Arial" w:eastAsiaTheme="minorHAnsi" w:hAnsi="Arial" w:cs="Arial"/>
          <w:b/>
          <w:bCs/>
          <w:caps/>
          <w:color w:val="31849B" w:themeColor="accent5" w:themeShade="BF"/>
          <w:lang w:eastAsia="en-US"/>
        </w:rPr>
        <w:t>indikátoru</w:t>
      </w:r>
      <w:r w:rsidR="008A2193" w:rsidRPr="000465C4">
        <w:rPr>
          <w:rStyle w:val="Zdraznnintenzivn"/>
          <w:rFonts w:ascii="Arial" w:eastAsiaTheme="minorHAnsi" w:hAnsi="Arial" w:cs="Arial"/>
          <w:b/>
          <w:bCs/>
          <w:caps/>
          <w:color w:val="31849B" w:themeColor="accent5" w:themeShade="BF"/>
          <w:lang w:eastAsia="en-US"/>
        </w:rPr>
        <w:t xml:space="preserve"> </w:t>
      </w:r>
    </w:p>
    <w:p w14:paraId="592483EB" w14:textId="788C7941" w:rsidR="00441B57" w:rsidRPr="004C067A" w:rsidRDefault="00151D2B" w:rsidP="00822000">
      <w:pPr>
        <w:spacing w:after="200" w:line="276" w:lineRule="auto"/>
        <w:jc w:val="both"/>
        <w:rPr>
          <w:rFonts w:ascii="Arial" w:hAnsi="Arial" w:cs="Arial"/>
          <w:sz w:val="22"/>
          <w:szCs w:val="22"/>
        </w:rPr>
      </w:pPr>
      <w:r w:rsidRPr="004C067A">
        <w:rPr>
          <w:rFonts w:ascii="Arial" w:hAnsi="Arial" w:cs="Arial"/>
          <w:sz w:val="22"/>
          <w:szCs w:val="22"/>
        </w:rPr>
        <w:t>Toleranční pásmo</w:t>
      </w:r>
      <w:r w:rsidR="00AF3D0A" w:rsidRPr="004C067A">
        <w:rPr>
          <w:rFonts w:ascii="Arial" w:hAnsi="Arial" w:cs="Arial"/>
          <w:sz w:val="22"/>
          <w:szCs w:val="22"/>
        </w:rPr>
        <w:t xml:space="preserve"> činí</w:t>
      </w:r>
      <w:r w:rsidR="00690293" w:rsidRPr="004C067A">
        <w:rPr>
          <w:rFonts w:ascii="Arial" w:hAnsi="Arial" w:cs="Arial"/>
          <w:sz w:val="22"/>
          <w:szCs w:val="22"/>
        </w:rPr>
        <w:t xml:space="preserve"> </w:t>
      </w:r>
      <w:r w:rsidR="008E4F0B" w:rsidRPr="002318A5">
        <w:rPr>
          <w:rFonts w:ascii="Arial" w:hAnsi="Arial" w:cs="Arial"/>
          <w:b/>
          <w:bCs/>
          <w:sz w:val="22"/>
          <w:szCs w:val="22"/>
        </w:rPr>
        <w:t>min</w:t>
      </w:r>
      <w:r w:rsidR="004C067A" w:rsidRPr="002318A5">
        <w:rPr>
          <w:rFonts w:ascii="Arial" w:hAnsi="Arial" w:cs="Arial"/>
          <w:b/>
          <w:bCs/>
          <w:sz w:val="22"/>
          <w:szCs w:val="22"/>
        </w:rPr>
        <w:t>us</w:t>
      </w:r>
      <w:r w:rsidR="008E4F0B" w:rsidRPr="002318A5">
        <w:rPr>
          <w:rFonts w:ascii="Arial" w:hAnsi="Arial" w:cs="Arial"/>
          <w:b/>
          <w:bCs/>
          <w:sz w:val="22"/>
          <w:szCs w:val="22"/>
        </w:rPr>
        <w:t xml:space="preserve"> </w:t>
      </w:r>
      <w:r w:rsidR="004C067A" w:rsidRPr="002318A5">
        <w:rPr>
          <w:rFonts w:ascii="Arial" w:hAnsi="Arial" w:cs="Arial"/>
          <w:b/>
          <w:bCs/>
          <w:sz w:val="22"/>
          <w:szCs w:val="22"/>
        </w:rPr>
        <w:t>2</w:t>
      </w:r>
      <w:r w:rsidR="008D3E30" w:rsidRPr="002318A5">
        <w:rPr>
          <w:rFonts w:ascii="Arial" w:hAnsi="Arial" w:cs="Arial"/>
          <w:b/>
          <w:bCs/>
          <w:sz w:val="22"/>
          <w:szCs w:val="22"/>
        </w:rPr>
        <w:t xml:space="preserve"> </w:t>
      </w:r>
      <w:r w:rsidRPr="002318A5">
        <w:rPr>
          <w:rFonts w:ascii="Arial" w:hAnsi="Arial" w:cs="Arial"/>
          <w:b/>
          <w:bCs/>
          <w:sz w:val="22"/>
          <w:szCs w:val="22"/>
        </w:rPr>
        <w:t>%</w:t>
      </w:r>
      <w:r w:rsidRPr="004C067A">
        <w:rPr>
          <w:rFonts w:ascii="Arial" w:hAnsi="Arial" w:cs="Arial"/>
          <w:sz w:val="22"/>
          <w:szCs w:val="22"/>
        </w:rPr>
        <w:t xml:space="preserve"> </w:t>
      </w:r>
      <w:r w:rsidR="00A930DE" w:rsidRPr="004C067A">
        <w:rPr>
          <w:rFonts w:ascii="Arial" w:hAnsi="Arial" w:cs="Arial"/>
          <w:sz w:val="22"/>
          <w:szCs w:val="22"/>
        </w:rPr>
        <w:t xml:space="preserve">cílové </w:t>
      </w:r>
      <w:r w:rsidRPr="004C067A">
        <w:rPr>
          <w:rFonts w:ascii="Arial" w:hAnsi="Arial" w:cs="Arial"/>
          <w:sz w:val="22"/>
          <w:szCs w:val="22"/>
        </w:rPr>
        <w:t xml:space="preserve">hodnoty </w:t>
      </w:r>
      <w:r w:rsidR="007A3276" w:rsidRPr="004C067A">
        <w:rPr>
          <w:rFonts w:ascii="Arial" w:hAnsi="Arial" w:cs="Arial"/>
          <w:sz w:val="22"/>
          <w:szCs w:val="22"/>
        </w:rPr>
        <w:t>indikátoru</w:t>
      </w:r>
      <w:r w:rsidR="000719EC">
        <w:rPr>
          <w:rFonts w:ascii="Arial" w:hAnsi="Arial" w:cs="Arial"/>
          <w:sz w:val="22"/>
          <w:szCs w:val="22"/>
        </w:rPr>
        <w:t>.</w:t>
      </w:r>
      <w:r w:rsidR="00441B57" w:rsidRPr="004C067A">
        <w:rPr>
          <w:rFonts w:ascii="Arial" w:hAnsi="Arial" w:cs="Arial"/>
          <w:sz w:val="22"/>
          <w:szCs w:val="22"/>
        </w:rPr>
        <w:t xml:space="preserve"> </w:t>
      </w:r>
      <w:r w:rsidR="00AF3D0A" w:rsidRPr="004C067A">
        <w:rPr>
          <w:rFonts w:ascii="Arial" w:hAnsi="Arial" w:cs="Arial"/>
          <w:sz w:val="22"/>
          <w:szCs w:val="22"/>
        </w:rPr>
        <w:t>Toto pásmo je pevně navázáno na cílovou hodnotu naplňovanou k Rozhodnému datu</w:t>
      </w:r>
      <w:r w:rsidR="007A7B31" w:rsidRPr="004C067A">
        <w:rPr>
          <w:rFonts w:ascii="Arial" w:hAnsi="Arial" w:cs="Arial"/>
          <w:sz w:val="22"/>
          <w:szCs w:val="22"/>
        </w:rPr>
        <w:t>, ale p</w:t>
      </w:r>
      <w:r w:rsidR="008E4F0B" w:rsidRPr="004C067A">
        <w:rPr>
          <w:rFonts w:ascii="Arial" w:hAnsi="Arial" w:cs="Arial"/>
          <w:sz w:val="22"/>
          <w:szCs w:val="22"/>
        </w:rPr>
        <w:t xml:space="preserve">latí tedy i pro období </w:t>
      </w:r>
      <w:r w:rsidR="007A7B31" w:rsidRPr="004C067A">
        <w:rPr>
          <w:rFonts w:ascii="Arial" w:hAnsi="Arial" w:cs="Arial"/>
          <w:sz w:val="22"/>
          <w:szCs w:val="22"/>
        </w:rPr>
        <w:t xml:space="preserve">udržitelnosti </w:t>
      </w:r>
      <w:r w:rsidR="008E4F0B" w:rsidRPr="004C067A">
        <w:rPr>
          <w:rFonts w:ascii="Arial" w:hAnsi="Arial" w:cs="Arial"/>
          <w:sz w:val="22"/>
          <w:szCs w:val="22"/>
        </w:rPr>
        <w:t>po Rozhodném datu</w:t>
      </w:r>
      <w:r w:rsidR="00AF3D0A" w:rsidRPr="004C067A">
        <w:rPr>
          <w:rStyle w:val="Znakapoznpodarou"/>
          <w:rFonts w:ascii="Arial" w:hAnsi="Arial" w:cs="Arial"/>
          <w:sz w:val="22"/>
          <w:szCs w:val="22"/>
        </w:rPr>
        <w:footnoteReference w:id="1"/>
      </w:r>
      <w:r w:rsidR="00AF3D0A" w:rsidRPr="004C067A">
        <w:rPr>
          <w:rFonts w:ascii="Arial" w:hAnsi="Arial" w:cs="Arial"/>
          <w:sz w:val="22"/>
          <w:szCs w:val="22"/>
        </w:rPr>
        <w:t>. Překročení stanovené cílové hodnoty není sankcionováno.</w:t>
      </w:r>
    </w:p>
    <w:p w14:paraId="4B73D90F" w14:textId="590169C7" w:rsidR="00AF3D0A" w:rsidRDefault="00AF3D0A" w:rsidP="00822000">
      <w:pPr>
        <w:spacing w:after="200" w:line="276" w:lineRule="auto"/>
        <w:jc w:val="both"/>
        <w:rPr>
          <w:rFonts w:ascii="Arial" w:hAnsi="Arial" w:cs="Arial"/>
          <w:sz w:val="22"/>
          <w:szCs w:val="22"/>
        </w:rPr>
      </w:pPr>
      <w:r w:rsidRPr="00AF3D0A">
        <w:rPr>
          <w:rFonts w:ascii="Arial" w:hAnsi="Arial" w:cs="Arial"/>
          <w:sz w:val="22"/>
          <w:szCs w:val="22"/>
        </w:rPr>
        <w:t xml:space="preserve">Pokud se během realizace projektu objeví skutečnosti, které povedou k nenaplnění cílové hodnoty </w:t>
      </w:r>
      <w:r w:rsidRPr="004C067A">
        <w:rPr>
          <w:rFonts w:ascii="Arial" w:hAnsi="Arial" w:cs="Arial"/>
          <w:sz w:val="22"/>
          <w:szCs w:val="22"/>
        </w:rPr>
        <w:t>indikátoru</w:t>
      </w:r>
      <w:r w:rsidR="004C067A" w:rsidRPr="004C067A">
        <w:rPr>
          <w:rFonts w:ascii="Arial" w:hAnsi="Arial" w:cs="Arial"/>
          <w:sz w:val="22"/>
          <w:szCs w:val="22"/>
        </w:rPr>
        <w:t xml:space="preserve"> </w:t>
      </w:r>
      <w:r w:rsidRPr="004C067A">
        <w:rPr>
          <w:rFonts w:ascii="Arial" w:hAnsi="Arial" w:cs="Arial"/>
          <w:sz w:val="22"/>
          <w:szCs w:val="22"/>
        </w:rPr>
        <w:t>ve stanovené toleranci, je</w:t>
      </w:r>
      <w:r w:rsidRPr="00AF3D0A">
        <w:rPr>
          <w:rFonts w:ascii="Arial" w:hAnsi="Arial" w:cs="Arial"/>
          <w:sz w:val="22"/>
          <w:szCs w:val="22"/>
        </w:rPr>
        <w:t xml:space="preserve"> možné ze strany příjemce iniciovat změnové řízení, kde příjemce zdůvodní nutnost změny cílové hodnoty indikátoru a navrhne úpravy projektu, které poměrově zohlední změnu hodnoty, například </w:t>
      </w:r>
      <w:r w:rsidR="0064281D">
        <w:rPr>
          <w:rFonts w:ascii="Arial" w:hAnsi="Arial" w:cs="Arial"/>
          <w:sz w:val="22"/>
          <w:szCs w:val="22"/>
        </w:rPr>
        <w:t>s</w:t>
      </w:r>
      <w:r w:rsidRPr="00AF3D0A">
        <w:rPr>
          <w:rFonts w:ascii="Arial" w:hAnsi="Arial" w:cs="Arial"/>
          <w:sz w:val="22"/>
          <w:szCs w:val="22"/>
        </w:rPr>
        <w:t xml:space="preserve">nížením přímých výdajů </w:t>
      </w:r>
      <w:r w:rsidRPr="00AF3D0A">
        <w:rPr>
          <w:rFonts w:ascii="Arial" w:hAnsi="Arial" w:cs="Arial"/>
          <w:sz w:val="22"/>
          <w:szCs w:val="22"/>
        </w:rPr>
        <w:lastRenderedPageBreak/>
        <w:t xml:space="preserve">projektu vážících se na daný výstup. V takovém případě bude možné tuto žádost </w:t>
      </w:r>
      <w:r w:rsidR="006A4A02">
        <w:rPr>
          <w:rFonts w:ascii="Arial" w:hAnsi="Arial" w:cs="Arial"/>
          <w:sz w:val="22"/>
          <w:szCs w:val="22"/>
        </w:rPr>
        <w:t>posoudit</w:t>
      </w:r>
      <w:r w:rsidR="006A4A02" w:rsidRPr="00AF3D0A">
        <w:rPr>
          <w:rFonts w:ascii="Arial" w:hAnsi="Arial" w:cs="Arial"/>
          <w:sz w:val="22"/>
          <w:szCs w:val="22"/>
        </w:rPr>
        <w:t>, a</w:t>
      </w:r>
      <w:r w:rsidRPr="00AF3D0A">
        <w:rPr>
          <w:rFonts w:ascii="Arial" w:hAnsi="Arial" w:cs="Arial"/>
          <w:sz w:val="22"/>
          <w:szCs w:val="22"/>
        </w:rPr>
        <w:t xml:space="preserve"> rozhodnout, zda lze cílovou hodnotu snížit</w:t>
      </w:r>
      <w:r>
        <w:rPr>
          <w:rFonts w:ascii="Arial" w:hAnsi="Arial" w:cs="Arial"/>
          <w:sz w:val="22"/>
          <w:szCs w:val="22"/>
        </w:rPr>
        <w:t xml:space="preserve">. </w:t>
      </w:r>
    </w:p>
    <w:p w14:paraId="38AA3078" w14:textId="4A14723D" w:rsidR="00151D2B" w:rsidRDefault="00690293" w:rsidP="00822000">
      <w:pPr>
        <w:spacing w:after="200" w:line="276" w:lineRule="auto"/>
        <w:jc w:val="both"/>
        <w:rPr>
          <w:rFonts w:ascii="Arial" w:hAnsi="Arial" w:cs="Arial"/>
          <w:sz w:val="22"/>
          <w:szCs w:val="22"/>
        </w:rPr>
      </w:pPr>
      <w:r>
        <w:rPr>
          <w:rFonts w:ascii="Arial" w:hAnsi="Arial" w:cs="Arial"/>
          <w:sz w:val="22"/>
          <w:szCs w:val="22"/>
        </w:rPr>
        <w:t>Když</w:t>
      </w:r>
      <w:r w:rsidR="00FE118B">
        <w:rPr>
          <w:rFonts w:ascii="Arial" w:hAnsi="Arial" w:cs="Arial"/>
          <w:sz w:val="22"/>
          <w:szCs w:val="22"/>
        </w:rPr>
        <w:t xml:space="preserve"> tak příjemce neučiní</w:t>
      </w:r>
      <w:r>
        <w:rPr>
          <w:rFonts w:ascii="Arial" w:hAnsi="Arial" w:cs="Arial"/>
          <w:sz w:val="22"/>
          <w:szCs w:val="22"/>
        </w:rPr>
        <w:t>,</w:t>
      </w:r>
      <w:r w:rsidR="00145671">
        <w:rPr>
          <w:rFonts w:ascii="Arial" w:hAnsi="Arial" w:cs="Arial"/>
          <w:sz w:val="22"/>
          <w:szCs w:val="22"/>
        </w:rPr>
        <w:t xml:space="preserve"> zůstává cílová hodnota platná v nezměněné výši,</w:t>
      </w:r>
      <w:r w:rsidR="00FE118B">
        <w:rPr>
          <w:rFonts w:ascii="Arial" w:hAnsi="Arial" w:cs="Arial"/>
          <w:sz w:val="22"/>
          <w:szCs w:val="22"/>
        </w:rPr>
        <w:t xml:space="preserve"> </w:t>
      </w:r>
      <w:r>
        <w:rPr>
          <w:rFonts w:ascii="Arial" w:hAnsi="Arial" w:cs="Arial"/>
          <w:sz w:val="22"/>
          <w:szCs w:val="22"/>
        </w:rPr>
        <w:t xml:space="preserve">a </w:t>
      </w:r>
      <w:r w:rsidR="00145671">
        <w:rPr>
          <w:rFonts w:ascii="Arial" w:hAnsi="Arial" w:cs="Arial"/>
          <w:sz w:val="22"/>
          <w:szCs w:val="22"/>
        </w:rPr>
        <w:t xml:space="preserve">pokud </w:t>
      </w:r>
      <w:r w:rsidR="00663903">
        <w:rPr>
          <w:rFonts w:ascii="Arial" w:hAnsi="Arial" w:cs="Arial"/>
          <w:sz w:val="22"/>
          <w:szCs w:val="22"/>
        </w:rPr>
        <w:t xml:space="preserve">bude </w:t>
      </w:r>
      <w:r w:rsidR="00FE118B">
        <w:rPr>
          <w:rFonts w:ascii="Arial" w:hAnsi="Arial" w:cs="Arial"/>
          <w:sz w:val="22"/>
          <w:szCs w:val="22"/>
        </w:rPr>
        <w:t>vykázaná</w:t>
      </w:r>
      <w:r w:rsidR="008E0493">
        <w:rPr>
          <w:rFonts w:ascii="Arial" w:hAnsi="Arial" w:cs="Arial"/>
          <w:sz w:val="22"/>
          <w:szCs w:val="22"/>
        </w:rPr>
        <w:t xml:space="preserve"> dosažená</w:t>
      </w:r>
      <w:r w:rsidR="00FE118B">
        <w:rPr>
          <w:rFonts w:ascii="Arial" w:hAnsi="Arial" w:cs="Arial"/>
          <w:sz w:val="22"/>
          <w:szCs w:val="22"/>
        </w:rPr>
        <w:t xml:space="preserve"> </w:t>
      </w:r>
      <w:r w:rsidR="00FE118B" w:rsidRPr="004C067A">
        <w:rPr>
          <w:rFonts w:ascii="Arial" w:hAnsi="Arial" w:cs="Arial"/>
          <w:sz w:val="22"/>
          <w:szCs w:val="22"/>
        </w:rPr>
        <w:t xml:space="preserve">hodnota </w:t>
      </w:r>
      <w:r w:rsidR="00663903" w:rsidRPr="004C067A">
        <w:rPr>
          <w:rFonts w:ascii="Arial" w:hAnsi="Arial" w:cs="Arial"/>
          <w:sz w:val="22"/>
          <w:szCs w:val="22"/>
        </w:rPr>
        <w:t xml:space="preserve">k Rozhodnému datu </w:t>
      </w:r>
      <w:r w:rsidR="00FE118B" w:rsidRPr="004C067A">
        <w:rPr>
          <w:rFonts w:ascii="Arial" w:hAnsi="Arial" w:cs="Arial"/>
          <w:sz w:val="22"/>
          <w:szCs w:val="22"/>
        </w:rPr>
        <w:t xml:space="preserve">pod stanovenou tolerancí, bude postupováno </w:t>
      </w:r>
      <w:r w:rsidR="00FE118B" w:rsidRPr="00FD41E1">
        <w:rPr>
          <w:rFonts w:ascii="Arial" w:hAnsi="Arial" w:cs="Arial"/>
          <w:sz w:val="22"/>
          <w:szCs w:val="22"/>
        </w:rPr>
        <w:t xml:space="preserve">dle </w:t>
      </w:r>
      <w:r w:rsidR="00FE118B" w:rsidRPr="002318A5">
        <w:rPr>
          <w:rFonts w:ascii="Arial" w:hAnsi="Arial" w:cs="Arial"/>
          <w:sz w:val="22"/>
          <w:szCs w:val="22"/>
        </w:rPr>
        <w:t>Podmínek Rozhodnutí</w:t>
      </w:r>
      <w:r w:rsidR="00FE118B" w:rsidRPr="00FD41E1">
        <w:rPr>
          <w:rFonts w:ascii="Arial" w:hAnsi="Arial" w:cs="Arial"/>
          <w:sz w:val="22"/>
          <w:szCs w:val="22"/>
        </w:rPr>
        <w:t>, které</w:t>
      </w:r>
      <w:r w:rsidR="007A7B31" w:rsidRPr="004C067A">
        <w:rPr>
          <w:rFonts w:ascii="Arial" w:hAnsi="Arial" w:cs="Arial"/>
          <w:sz w:val="22"/>
          <w:szCs w:val="22"/>
        </w:rPr>
        <w:t xml:space="preserve"> stanoví</w:t>
      </w:r>
      <w:r w:rsidR="00FE118B" w:rsidRPr="004C067A">
        <w:rPr>
          <w:rFonts w:ascii="Arial" w:hAnsi="Arial" w:cs="Arial"/>
          <w:sz w:val="22"/>
          <w:szCs w:val="22"/>
        </w:rPr>
        <w:t xml:space="preserve"> konkrétní výš</w:t>
      </w:r>
      <w:r w:rsidR="007A7B31" w:rsidRPr="004C067A">
        <w:rPr>
          <w:rFonts w:ascii="Arial" w:hAnsi="Arial" w:cs="Arial"/>
          <w:sz w:val="22"/>
          <w:szCs w:val="22"/>
        </w:rPr>
        <w:t>i</w:t>
      </w:r>
      <w:r w:rsidR="00FE118B" w:rsidRPr="004C067A">
        <w:rPr>
          <w:rFonts w:ascii="Arial" w:hAnsi="Arial" w:cs="Arial"/>
          <w:sz w:val="22"/>
          <w:szCs w:val="22"/>
        </w:rPr>
        <w:t xml:space="preserve"> a typ sankce</w:t>
      </w:r>
      <w:r w:rsidR="00083E57" w:rsidRPr="004C067A">
        <w:rPr>
          <w:rFonts w:ascii="Arial" w:hAnsi="Arial" w:cs="Arial"/>
          <w:sz w:val="22"/>
          <w:szCs w:val="22"/>
        </w:rPr>
        <w:t xml:space="preserve"> </w:t>
      </w:r>
      <w:r w:rsidR="00FE118B" w:rsidRPr="004C067A">
        <w:rPr>
          <w:rFonts w:ascii="Arial" w:hAnsi="Arial" w:cs="Arial"/>
          <w:sz w:val="22"/>
          <w:szCs w:val="22"/>
        </w:rPr>
        <w:t>aplikované při nenaplnění cílové hodnoty indikátoru.</w:t>
      </w:r>
    </w:p>
    <w:p w14:paraId="3A6A79CD" w14:textId="5019078A" w:rsidR="000D208C" w:rsidRDefault="00AF3D0A" w:rsidP="004C067A">
      <w:pPr>
        <w:spacing w:after="200" w:line="276" w:lineRule="auto"/>
        <w:jc w:val="both"/>
        <w:rPr>
          <w:rFonts w:ascii="Arial" w:hAnsi="Arial" w:cs="Arial"/>
          <w:sz w:val="22"/>
          <w:szCs w:val="22"/>
        </w:rPr>
      </w:pPr>
      <w:r w:rsidRPr="00AF3D0A">
        <w:rPr>
          <w:rFonts w:ascii="Arial" w:hAnsi="Arial" w:cs="Arial"/>
          <w:sz w:val="22"/>
          <w:szCs w:val="22"/>
        </w:rPr>
        <w:t>V době udržitelnosti</w:t>
      </w:r>
      <w:r>
        <w:rPr>
          <w:rFonts w:ascii="Arial" w:hAnsi="Arial" w:cs="Arial"/>
          <w:sz w:val="22"/>
          <w:szCs w:val="22"/>
        </w:rPr>
        <w:t xml:space="preserve"> již</w:t>
      </w:r>
      <w:r w:rsidRPr="00AF3D0A">
        <w:rPr>
          <w:rFonts w:ascii="Arial" w:hAnsi="Arial" w:cs="Arial"/>
          <w:sz w:val="22"/>
          <w:szCs w:val="22"/>
        </w:rPr>
        <w:t xml:space="preserve"> </w:t>
      </w:r>
      <w:r w:rsidRPr="006A4A02">
        <w:rPr>
          <w:rFonts w:ascii="Arial" w:hAnsi="Arial" w:cs="Arial"/>
          <w:b/>
          <w:bCs/>
          <w:sz w:val="22"/>
          <w:szCs w:val="22"/>
          <w:u w:val="single"/>
        </w:rPr>
        <w:t>nelze cílovou hodnotu upravit</w:t>
      </w:r>
      <w:r w:rsidRPr="00AF3D0A">
        <w:rPr>
          <w:rFonts w:ascii="Arial" w:hAnsi="Arial" w:cs="Arial"/>
          <w:sz w:val="22"/>
          <w:szCs w:val="22"/>
        </w:rPr>
        <w:t xml:space="preserve"> a zůstává zafixovaná ve výši platné k</w:t>
      </w:r>
      <w:r w:rsidR="00371437">
        <w:rPr>
          <w:rFonts w:ascii="Arial" w:hAnsi="Arial" w:cs="Arial"/>
          <w:sz w:val="22"/>
          <w:szCs w:val="22"/>
        </w:rPr>
        <w:t> datu skutečného ukončení realizace projektu</w:t>
      </w:r>
      <w:r w:rsidR="00D27F55">
        <w:rPr>
          <w:rFonts w:ascii="Arial" w:hAnsi="Arial" w:cs="Arial"/>
          <w:sz w:val="22"/>
          <w:szCs w:val="22"/>
        </w:rPr>
        <w:t>.</w:t>
      </w:r>
      <w:r w:rsidRPr="00AF3D0A">
        <w:rPr>
          <w:rFonts w:ascii="Arial" w:hAnsi="Arial" w:cs="Arial"/>
          <w:sz w:val="22"/>
          <w:szCs w:val="22"/>
        </w:rPr>
        <w:t xml:space="preserve"> Pokud bude</w:t>
      </w:r>
      <w:r w:rsidR="00CD7FF3">
        <w:rPr>
          <w:rFonts w:ascii="Arial" w:hAnsi="Arial" w:cs="Arial"/>
          <w:sz w:val="22"/>
          <w:szCs w:val="22"/>
        </w:rPr>
        <w:t xml:space="preserve"> </w:t>
      </w:r>
      <w:r w:rsidRPr="00AF3D0A">
        <w:rPr>
          <w:rFonts w:ascii="Arial" w:hAnsi="Arial" w:cs="Arial"/>
          <w:sz w:val="22"/>
          <w:szCs w:val="22"/>
        </w:rPr>
        <w:t xml:space="preserve">v období udržitelnosti </w:t>
      </w:r>
      <w:r w:rsidR="00CD7FF3">
        <w:rPr>
          <w:rFonts w:ascii="Arial" w:hAnsi="Arial" w:cs="Arial"/>
          <w:sz w:val="22"/>
          <w:szCs w:val="22"/>
        </w:rPr>
        <w:t xml:space="preserve">(po Rozhodném datu) </w:t>
      </w:r>
      <w:r w:rsidRPr="00AF3D0A">
        <w:rPr>
          <w:rFonts w:ascii="Arial" w:hAnsi="Arial" w:cs="Arial"/>
          <w:sz w:val="22"/>
          <w:szCs w:val="22"/>
        </w:rPr>
        <w:t xml:space="preserve">vykázaná dosažená hodnota </w:t>
      </w:r>
      <w:r w:rsidRPr="00FD41E1">
        <w:rPr>
          <w:rFonts w:ascii="Arial" w:hAnsi="Arial" w:cs="Arial"/>
          <w:sz w:val="22"/>
          <w:szCs w:val="22"/>
        </w:rPr>
        <w:t xml:space="preserve">pod </w:t>
      </w:r>
      <w:r w:rsidRPr="002318A5">
        <w:rPr>
          <w:rFonts w:ascii="Arial" w:hAnsi="Arial" w:cs="Arial"/>
          <w:sz w:val="22"/>
          <w:szCs w:val="22"/>
        </w:rPr>
        <w:t>stanovenou tolerancí</w:t>
      </w:r>
      <w:r w:rsidRPr="00FD41E1">
        <w:rPr>
          <w:rFonts w:ascii="Arial" w:hAnsi="Arial" w:cs="Arial"/>
          <w:sz w:val="22"/>
          <w:szCs w:val="22"/>
        </w:rPr>
        <w:t>, bude</w:t>
      </w:r>
      <w:r w:rsidRPr="00AF3D0A">
        <w:rPr>
          <w:rFonts w:ascii="Arial" w:hAnsi="Arial" w:cs="Arial"/>
          <w:sz w:val="22"/>
          <w:szCs w:val="22"/>
        </w:rPr>
        <w:t xml:space="preserve"> postupováno dle </w:t>
      </w:r>
      <w:r w:rsidRPr="00FD41E1">
        <w:rPr>
          <w:rFonts w:ascii="Arial" w:hAnsi="Arial" w:cs="Arial"/>
          <w:sz w:val="22"/>
          <w:szCs w:val="22"/>
        </w:rPr>
        <w:t xml:space="preserve">Podmínek </w:t>
      </w:r>
      <w:r w:rsidRPr="002318A5">
        <w:rPr>
          <w:rFonts w:ascii="Arial" w:hAnsi="Arial" w:cs="Arial"/>
          <w:sz w:val="22"/>
          <w:szCs w:val="22"/>
        </w:rPr>
        <w:t>Rozhodnutí</w:t>
      </w:r>
      <w:r w:rsidRPr="00FD41E1">
        <w:rPr>
          <w:rFonts w:ascii="Arial" w:hAnsi="Arial" w:cs="Arial"/>
          <w:sz w:val="22"/>
          <w:szCs w:val="22"/>
        </w:rPr>
        <w:t>,</w:t>
      </w:r>
      <w:r w:rsidRPr="00AF3D0A">
        <w:rPr>
          <w:rFonts w:ascii="Arial" w:hAnsi="Arial" w:cs="Arial"/>
          <w:sz w:val="22"/>
          <w:szCs w:val="22"/>
        </w:rPr>
        <w:t xml:space="preserve"> které stanoví konkrétní výš</w:t>
      </w:r>
      <w:r w:rsidR="0003252A">
        <w:rPr>
          <w:rFonts w:ascii="Arial" w:hAnsi="Arial" w:cs="Arial"/>
          <w:sz w:val="22"/>
          <w:szCs w:val="22"/>
        </w:rPr>
        <w:t>i</w:t>
      </w:r>
      <w:r w:rsidRPr="00AF3D0A">
        <w:rPr>
          <w:rFonts w:ascii="Arial" w:hAnsi="Arial" w:cs="Arial"/>
          <w:sz w:val="22"/>
          <w:szCs w:val="22"/>
        </w:rPr>
        <w:t xml:space="preserve"> a typ sankce aplikované při ne</w:t>
      </w:r>
      <w:r w:rsidR="00291A5A">
        <w:rPr>
          <w:rFonts w:ascii="Arial" w:hAnsi="Arial" w:cs="Arial"/>
          <w:sz w:val="22"/>
          <w:szCs w:val="22"/>
        </w:rPr>
        <w:t>udržení</w:t>
      </w:r>
      <w:r w:rsidRPr="00AF3D0A">
        <w:rPr>
          <w:rFonts w:ascii="Arial" w:hAnsi="Arial" w:cs="Arial"/>
          <w:sz w:val="22"/>
          <w:szCs w:val="22"/>
        </w:rPr>
        <w:t xml:space="preserve"> cílové hodnoty indikátoru</w:t>
      </w:r>
      <w:r w:rsidR="0050415A">
        <w:rPr>
          <w:rFonts w:ascii="Arial" w:hAnsi="Arial" w:cs="Arial"/>
          <w:sz w:val="22"/>
          <w:szCs w:val="22"/>
        </w:rPr>
        <w:t>,</w:t>
      </w:r>
      <w:r w:rsidRPr="00AF3D0A">
        <w:rPr>
          <w:rFonts w:ascii="Arial" w:hAnsi="Arial" w:cs="Arial"/>
          <w:sz w:val="22"/>
          <w:szCs w:val="22"/>
        </w:rPr>
        <w:t xml:space="preserve"> a to poměrově</w:t>
      </w:r>
      <w:r w:rsidR="0050415A">
        <w:rPr>
          <w:rFonts w:ascii="Arial" w:hAnsi="Arial" w:cs="Arial"/>
          <w:sz w:val="22"/>
          <w:szCs w:val="22"/>
        </w:rPr>
        <w:t>,</w:t>
      </w:r>
      <w:r w:rsidRPr="00AF3D0A">
        <w:rPr>
          <w:rFonts w:ascii="Arial" w:hAnsi="Arial" w:cs="Arial"/>
          <w:sz w:val="22"/>
          <w:szCs w:val="22"/>
        </w:rPr>
        <w:t xml:space="preserve"> vztaženo k délce období udržitelnosti, době neplnění a výši neplnění.</w:t>
      </w:r>
    </w:p>
    <w:p w14:paraId="21CF849E" w14:textId="77777777" w:rsidR="000D208C" w:rsidRDefault="000D208C" w:rsidP="000D208C">
      <w:pPr>
        <w:spacing w:after="200" w:line="276" w:lineRule="auto"/>
        <w:jc w:val="both"/>
        <w:rPr>
          <w:rFonts w:ascii="Arial" w:eastAsiaTheme="minorHAnsi" w:hAnsi="Arial" w:cs="Arial"/>
          <w:b/>
          <w:bCs/>
          <w:i/>
          <w:iCs/>
          <w:caps/>
          <w:color w:val="31849B" w:themeColor="accent5" w:themeShade="BF"/>
          <w:lang w:eastAsia="en-US"/>
        </w:rPr>
      </w:pPr>
      <w:r w:rsidRPr="002A5A78">
        <w:rPr>
          <w:rFonts w:ascii="Arial" w:eastAsiaTheme="minorHAnsi" w:hAnsi="Arial" w:cs="Arial"/>
          <w:b/>
          <w:bCs/>
          <w:i/>
          <w:iCs/>
          <w:caps/>
          <w:color w:val="31849B" w:themeColor="accent5" w:themeShade="BF"/>
          <w:lang w:eastAsia="en-US"/>
        </w:rPr>
        <w:t>POKYNY PRO VÝPOČET</w:t>
      </w:r>
    </w:p>
    <w:p w14:paraId="5F9394A6" w14:textId="77777777" w:rsidR="000D208C" w:rsidRPr="000D208C" w:rsidRDefault="000D208C" w:rsidP="000D208C">
      <w:pPr>
        <w:spacing w:after="200" w:line="276" w:lineRule="auto"/>
        <w:jc w:val="both"/>
        <w:rPr>
          <w:rFonts w:ascii="Arial" w:hAnsi="Arial" w:cs="Arial"/>
          <w:sz w:val="22"/>
          <w:szCs w:val="22"/>
        </w:rPr>
      </w:pPr>
      <w:r w:rsidRPr="000D208C">
        <w:rPr>
          <w:rFonts w:ascii="Arial" w:hAnsi="Arial" w:cs="Arial"/>
          <w:sz w:val="22"/>
          <w:szCs w:val="22"/>
        </w:rPr>
        <w:t>Hodnoty jsou součtem délek řešených úseků vyhrazených komunikací pro cyklisty vyjádřených v kilometrech s přesností na 3 desetinná místa (tj. na metry).</w:t>
      </w:r>
    </w:p>
    <w:p w14:paraId="3BBA820A" w14:textId="77777777" w:rsidR="000D208C" w:rsidRPr="000D208C" w:rsidRDefault="000D208C" w:rsidP="000D208C">
      <w:pPr>
        <w:spacing w:after="200" w:line="276" w:lineRule="auto"/>
        <w:jc w:val="both"/>
        <w:rPr>
          <w:rFonts w:ascii="Arial" w:hAnsi="Arial" w:cs="Arial"/>
          <w:sz w:val="22"/>
          <w:szCs w:val="22"/>
        </w:rPr>
      </w:pPr>
      <w:r w:rsidRPr="000D208C">
        <w:rPr>
          <w:rFonts w:ascii="Arial" w:hAnsi="Arial" w:cs="Arial"/>
          <w:sz w:val="22"/>
          <w:szCs w:val="22"/>
        </w:rPr>
        <w:t>Délka projektem řešeného úseku vyhrazené komunikace pro cyklisty vstupující do cílové (a dosažené) hodnoty indikátoru se měří v ose komunikace.</w:t>
      </w:r>
    </w:p>
    <w:p w14:paraId="7D1B9C63" w14:textId="77777777" w:rsidR="000D208C" w:rsidRPr="000D208C" w:rsidRDefault="000D208C" w:rsidP="000D208C">
      <w:pPr>
        <w:spacing w:after="200" w:line="276" w:lineRule="auto"/>
        <w:jc w:val="both"/>
        <w:rPr>
          <w:rFonts w:ascii="Arial" w:hAnsi="Arial" w:cs="Arial"/>
          <w:sz w:val="22"/>
          <w:szCs w:val="22"/>
        </w:rPr>
      </w:pPr>
      <w:r w:rsidRPr="000D208C">
        <w:rPr>
          <w:rFonts w:ascii="Arial" w:hAnsi="Arial" w:cs="Arial"/>
          <w:sz w:val="22"/>
          <w:szCs w:val="22"/>
        </w:rPr>
        <w:t>Započítá se délka úseku vyhrazené komunikace pro cyklisty vymezeného příslušným svislým nebo vodorovným dopravním značením, případně i délka v bezprostřední návaznosti, pokud je evidentní, že se jedná o vyhrazenou komunikaci pro cyklisty (např. při osazení svislých dopravních značek v bezpečné vzdálenosti od křižovatky s jinou pozemní komunikací).</w:t>
      </w:r>
    </w:p>
    <w:p w14:paraId="46732BA0" w14:textId="274B6B3E" w:rsidR="00F0533A" w:rsidRPr="004C067A" w:rsidRDefault="000D208C" w:rsidP="000D208C">
      <w:pPr>
        <w:spacing w:after="200" w:line="276" w:lineRule="auto"/>
        <w:jc w:val="both"/>
        <w:rPr>
          <w:rStyle w:val="Zdraznnintenzivn"/>
          <w:rFonts w:ascii="Arial" w:hAnsi="Arial" w:cs="Arial"/>
          <w:i w:val="0"/>
          <w:iCs w:val="0"/>
          <w:color w:val="auto"/>
          <w:sz w:val="22"/>
          <w:szCs w:val="22"/>
        </w:rPr>
      </w:pPr>
      <w:r w:rsidRPr="000D208C">
        <w:rPr>
          <w:rFonts w:ascii="Arial" w:hAnsi="Arial" w:cs="Arial"/>
          <w:sz w:val="22"/>
          <w:szCs w:val="22"/>
        </w:rPr>
        <w:t>V případě cyklistické infrastruktury s jednosměrnými jízdními pruhy (oddělenými hlavním dopravním prostorem pozemní komunikace) se započítá délka každého jízdního pruhu.</w:t>
      </w:r>
      <w:r w:rsidR="00F0533A">
        <w:rPr>
          <w:rStyle w:val="Zdraznnintenzivn"/>
          <w:rFonts w:ascii="Arial" w:eastAsiaTheme="minorHAnsi" w:hAnsi="Arial" w:cs="Arial"/>
          <w:caps/>
          <w:color w:val="31849B" w:themeColor="accent5" w:themeShade="BF"/>
          <w:highlight w:val="yellow"/>
          <w:lang w:eastAsia="en-US"/>
        </w:rPr>
        <w:br w:type="page"/>
      </w:r>
    </w:p>
    <w:tbl>
      <w:tblPr>
        <w:tblpPr w:leftFromText="141" w:rightFromText="141" w:vertAnchor="text" w:horzAnchor="margin" w:tblpY="14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F0533A" w:rsidRPr="00F0533A" w14:paraId="269E4617" w14:textId="77777777" w:rsidTr="00F0533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48D4CBE1" w14:textId="77777777" w:rsidR="00F0533A" w:rsidRPr="00F0533A" w:rsidRDefault="00F0533A" w:rsidP="00F0533A">
            <w:pPr>
              <w:spacing w:line="276" w:lineRule="auto"/>
              <w:ind w:left="170" w:right="170"/>
              <w:jc w:val="center"/>
              <w:rPr>
                <w:rFonts w:ascii="Arial" w:eastAsiaTheme="minorHAnsi" w:hAnsi="Arial" w:cs="Arial"/>
                <w:b/>
                <w:bCs/>
                <w:color w:val="000000"/>
                <w:lang w:eastAsia="en-US"/>
              </w:rPr>
            </w:pPr>
            <w:r w:rsidRPr="00F0533A">
              <w:rPr>
                <w:rFonts w:ascii="Arial" w:eastAsiaTheme="minorHAnsi" w:hAnsi="Arial" w:cs="Arial"/>
                <w:b/>
                <w:bCs/>
                <w:color w:val="000000"/>
                <w:lang w:eastAsia="en-US"/>
              </w:rPr>
              <w:lastRenderedPageBreak/>
              <w:t>METODICKÝ LIST INDIKÁTORU</w:t>
            </w:r>
          </w:p>
        </w:tc>
      </w:tr>
      <w:tr w:rsidR="00F0533A" w:rsidRPr="00F0533A" w14:paraId="5278921A" w14:textId="77777777" w:rsidTr="00F0533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3A18C" w14:textId="77777777" w:rsidR="00F0533A" w:rsidRPr="00F0533A" w:rsidRDefault="00F0533A" w:rsidP="00F0533A">
            <w:pPr>
              <w:spacing w:before="80" w:after="80" w:line="276" w:lineRule="auto"/>
              <w:ind w:left="57" w:right="57"/>
              <w:jc w:val="center"/>
              <w:rPr>
                <w:rFonts w:ascii="Arial" w:eastAsiaTheme="minorHAnsi" w:hAnsi="Arial" w:cs="Arial"/>
                <w:b/>
                <w:bCs/>
                <w:color w:val="000000"/>
                <w:sz w:val="22"/>
                <w:szCs w:val="22"/>
                <w:lang w:eastAsia="en-US"/>
              </w:rPr>
            </w:pPr>
            <w:r w:rsidRPr="00F0533A">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92C62" w14:textId="77777777" w:rsidR="00F0533A" w:rsidRPr="00F0533A" w:rsidRDefault="00F0533A" w:rsidP="00F0533A">
            <w:pPr>
              <w:spacing w:before="80" w:after="80" w:line="276" w:lineRule="auto"/>
              <w:ind w:left="57" w:right="57"/>
              <w:jc w:val="center"/>
              <w:rPr>
                <w:rFonts w:eastAsiaTheme="minorHAnsi"/>
                <w:b/>
                <w:bCs/>
              </w:rPr>
            </w:pPr>
            <w:r w:rsidRPr="00F0533A">
              <w:rPr>
                <w:rFonts w:ascii="Arial" w:eastAsiaTheme="minorHAnsi" w:hAnsi="Arial" w:cs="Arial"/>
                <w:b/>
                <w:bCs/>
                <w:color w:val="000000"/>
                <w:lang w:eastAsia="en-US"/>
              </w:rPr>
              <w:t>764 010 - Parkovací místa pro jízdní kola</w:t>
            </w:r>
          </w:p>
        </w:tc>
      </w:tr>
      <w:tr w:rsidR="00F0533A" w:rsidRPr="00F0533A" w14:paraId="513DA40D" w14:textId="77777777" w:rsidTr="00F0533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7689DBDD" w14:textId="77777777" w:rsidR="00F0533A" w:rsidRPr="00F0533A" w:rsidRDefault="00F0533A" w:rsidP="00F0533A">
            <w:pPr>
              <w:spacing w:line="276" w:lineRule="auto"/>
              <w:ind w:left="57" w:right="57"/>
              <w:jc w:val="center"/>
              <w:outlineLvl w:val="0"/>
              <w:rPr>
                <w:rFonts w:ascii="Arial" w:eastAsiaTheme="minorHAnsi" w:hAnsi="Arial" w:cs="Arial"/>
                <w:b/>
                <w:bCs/>
                <w:caps/>
                <w:color w:val="000000"/>
                <w:lang w:eastAsia="en-US"/>
              </w:rPr>
            </w:pPr>
            <w:r w:rsidRPr="00F0533A">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21C4A71F" w14:textId="77777777" w:rsidR="00F0533A" w:rsidRPr="00F0533A" w:rsidRDefault="00F0533A" w:rsidP="00F0533A">
            <w:pPr>
              <w:spacing w:line="276" w:lineRule="auto"/>
              <w:ind w:left="57" w:right="57"/>
              <w:jc w:val="center"/>
              <w:outlineLvl w:val="0"/>
              <w:rPr>
                <w:rFonts w:ascii="Arial" w:eastAsiaTheme="minorHAnsi" w:hAnsi="Arial" w:cs="Arial"/>
                <w:b/>
                <w:bCs/>
                <w:color w:val="000000"/>
                <w:sz w:val="22"/>
                <w:szCs w:val="22"/>
                <w:lang w:eastAsia="en-US"/>
              </w:rPr>
            </w:pPr>
            <w:r w:rsidRPr="00F0533A">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104C113A" w14:textId="77777777" w:rsidR="00F0533A" w:rsidRPr="00F0533A" w:rsidRDefault="00F0533A" w:rsidP="00F0533A">
            <w:pPr>
              <w:spacing w:line="276" w:lineRule="auto"/>
              <w:ind w:left="57" w:right="57"/>
              <w:jc w:val="center"/>
              <w:outlineLvl w:val="0"/>
              <w:rPr>
                <w:rFonts w:ascii="Arial" w:eastAsiaTheme="minorHAnsi" w:hAnsi="Arial" w:cs="Arial"/>
                <w:b/>
                <w:bCs/>
                <w:color w:val="000000"/>
                <w:sz w:val="22"/>
                <w:szCs w:val="22"/>
                <w:lang w:eastAsia="en-US"/>
              </w:rPr>
            </w:pPr>
            <w:r w:rsidRPr="00F0533A">
              <w:rPr>
                <w:rFonts w:ascii="Arial" w:eastAsiaTheme="minorHAnsi" w:hAnsi="Arial" w:cs="Arial"/>
                <w:b/>
                <w:bCs/>
                <w:color w:val="000000"/>
                <w:sz w:val="22"/>
                <w:szCs w:val="22"/>
                <w:lang w:eastAsia="en-US"/>
              </w:rPr>
              <w:t>Typ indikátoru</w:t>
            </w:r>
          </w:p>
        </w:tc>
      </w:tr>
      <w:tr w:rsidR="00F0533A" w:rsidRPr="00F0533A" w14:paraId="35D74223" w14:textId="77777777" w:rsidTr="00F0533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44CB7996" w14:textId="76363BD4" w:rsidR="00F0533A" w:rsidRPr="00F0533A" w:rsidRDefault="00F0533A" w:rsidP="00F0533A">
            <w:pPr>
              <w:spacing w:line="276" w:lineRule="auto"/>
              <w:ind w:left="57" w:right="57"/>
              <w:jc w:val="center"/>
              <w:outlineLvl w:val="0"/>
              <w:rPr>
                <w:rFonts w:ascii="Arial" w:eastAsiaTheme="minorHAnsi" w:hAnsi="Arial" w:cs="Arial"/>
                <w:b/>
                <w:bCs/>
                <w:color w:val="000000"/>
                <w:sz w:val="22"/>
                <w:szCs w:val="22"/>
                <w:lang w:eastAsia="en-US"/>
              </w:rPr>
            </w:pPr>
            <w:r w:rsidRPr="00F0533A">
              <w:rPr>
                <w:rFonts w:ascii="Arial" w:eastAsiaTheme="minorHAnsi" w:hAnsi="Arial" w:cs="Arial"/>
                <w:b/>
                <w:bCs/>
                <w:color w:val="000000"/>
                <w:sz w:val="22"/>
                <w:szCs w:val="22"/>
                <w:lang w:eastAsia="en-US"/>
              </w:rPr>
              <w:t xml:space="preserve">IROP </w:t>
            </w:r>
            <w:r w:rsidR="00236420" w:rsidRPr="00B6719E">
              <w:rPr>
                <w:rFonts w:ascii="Arial" w:eastAsiaTheme="minorHAnsi" w:hAnsi="Arial" w:cs="Arial"/>
                <w:b/>
                <w:bCs/>
                <w:color w:val="000000"/>
                <w:sz w:val="22"/>
                <w:szCs w:val="22"/>
                <w:lang w:eastAsia="en-US"/>
              </w:rPr>
              <w:t>5</w:t>
            </w:r>
            <w:r w:rsidRPr="00B6719E">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D045ACA" w14:textId="77777777" w:rsidR="00F0533A" w:rsidRPr="00F0533A" w:rsidRDefault="00F0533A" w:rsidP="00F0533A">
            <w:pPr>
              <w:spacing w:line="276" w:lineRule="auto"/>
              <w:ind w:left="57" w:right="57"/>
              <w:jc w:val="center"/>
              <w:outlineLvl w:val="0"/>
              <w:rPr>
                <w:rFonts w:ascii="Arial" w:eastAsiaTheme="minorHAnsi" w:hAnsi="Arial" w:cs="Arial"/>
                <w:b/>
                <w:bCs/>
                <w:color w:val="000000"/>
                <w:sz w:val="22"/>
                <w:szCs w:val="22"/>
                <w:lang w:eastAsia="en-US"/>
              </w:rPr>
            </w:pPr>
            <w:r w:rsidRPr="00F0533A">
              <w:rPr>
                <w:rFonts w:ascii="Arial" w:eastAsiaTheme="minorHAnsi" w:hAnsi="Arial" w:cs="Arial"/>
                <w:b/>
                <w:bCs/>
                <w:color w:val="000000"/>
                <w:lang w:eastAsia="en-US"/>
              </w:rPr>
              <w:t>parkovací místa</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B1BD56B" w14:textId="77777777" w:rsidR="00F0533A" w:rsidRPr="00F0533A" w:rsidRDefault="00F0533A" w:rsidP="00F0533A">
            <w:pPr>
              <w:spacing w:line="276" w:lineRule="auto"/>
              <w:ind w:left="57" w:right="57"/>
              <w:jc w:val="center"/>
              <w:outlineLvl w:val="0"/>
              <w:rPr>
                <w:rFonts w:ascii="Arial" w:eastAsiaTheme="minorHAnsi" w:hAnsi="Arial" w:cs="Arial"/>
                <w:b/>
                <w:bCs/>
                <w:color w:val="000000"/>
                <w:sz w:val="22"/>
                <w:szCs w:val="22"/>
                <w:lang w:eastAsia="en-US"/>
              </w:rPr>
            </w:pPr>
            <w:r w:rsidRPr="00F0533A">
              <w:rPr>
                <w:rFonts w:ascii="Arial" w:eastAsiaTheme="minorHAnsi" w:hAnsi="Arial" w:cs="Arial"/>
                <w:b/>
                <w:bCs/>
                <w:color w:val="000000"/>
                <w:sz w:val="22"/>
                <w:szCs w:val="22"/>
                <w:lang w:eastAsia="en-US"/>
              </w:rPr>
              <w:t>výstup</w:t>
            </w:r>
          </w:p>
        </w:tc>
      </w:tr>
    </w:tbl>
    <w:p w14:paraId="4B75E892" w14:textId="77777777" w:rsidR="00F0533A" w:rsidRPr="00F0533A" w:rsidRDefault="00F0533A" w:rsidP="00F0533A">
      <w:pPr>
        <w:spacing w:before="240" w:line="276" w:lineRule="auto"/>
        <w:jc w:val="both"/>
        <w:rPr>
          <w:rFonts w:ascii="Arial" w:eastAsiaTheme="minorHAnsi" w:hAnsi="Arial" w:cs="Arial"/>
          <w:b/>
          <w:bCs/>
          <w:i/>
          <w:iCs/>
          <w:caps/>
          <w:color w:val="31849B" w:themeColor="accent5" w:themeShade="BF"/>
          <w:lang w:eastAsia="en-US"/>
        </w:rPr>
      </w:pPr>
      <w:r w:rsidRPr="00F0533A">
        <w:rPr>
          <w:rFonts w:ascii="Arial" w:eastAsiaTheme="minorHAnsi" w:hAnsi="Arial" w:cs="Arial"/>
          <w:b/>
          <w:bCs/>
          <w:i/>
          <w:iCs/>
          <w:caps/>
          <w:color w:val="31849B" w:themeColor="accent5" w:themeShade="BF"/>
          <w:lang w:eastAsia="en-US"/>
        </w:rPr>
        <w:t xml:space="preserve">Definice indikátoru </w:t>
      </w:r>
    </w:p>
    <w:p w14:paraId="05680967" w14:textId="77777777" w:rsidR="00F0533A" w:rsidRPr="00F0533A" w:rsidRDefault="00F0533A" w:rsidP="00F0533A">
      <w:pPr>
        <w:spacing w:line="276" w:lineRule="auto"/>
        <w:jc w:val="both"/>
        <w:rPr>
          <w:rFonts w:ascii="Arial" w:hAnsi="Arial" w:cs="Arial"/>
          <w:color w:val="4F81BD" w:themeColor="accent1"/>
          <w:sz w:val="22"/>
          <w:szCs w:val="22"/>
        </w:rPr>
      </w:pPr>
      <w:r w:rsidRPr="00F0533A">
        <w:rPr>
          <w:rFonts w:ascii="Arial" w:hAnsi="Arial" w:cs="Arial"/>
          <w:sz w:val="22"/>
          <w:szCs w:val="22"/>
        </w:rPr>
        <w:t xml:space="preserve">Jedná se o zařízení určená k parkování (krátkodobému, střednědobému a dlouhodobému) - např. Bike &amp; </w:t>
      </w:r>
      <w:proofErr w:type="spellStart"/>
      <w:r w:rsidRPr="00F0533A">
        <w:rPr>
          <w:rFonts w:ascii="Arial" w:hAnsi="Arial" w:cs="Arial"/>
          <w:sz w:val="22"/>
          <w:szCs w:val="22"/>
        </w:rPr>
        <w:t>Ride</w:t>
      </w:r>
      <w:proofErr w:type="spellEnd"/>
      <w:r w:rsidRPr="00F0533A">
        <w:rPr>
          <w:rFonts w:ascii="Arial" w:hAnsi="Arial" w:cs="Arial"/>
          <w:sz w:val="22"/>
          <w:szCs w:val="22"/>
        </w:rPr>
        <w:t>. Měrnou jednotkou jsou jednotlivá parkovací místa zajištěná např. formou stojanů.</w:t>
      </w:r>
    </w:p>
    <w:p w14:paraId="033D582A" w14:textId="77777777" w:rsidR="00F0533A" w:rsidRPr="00F0533A" w:rsidRDefault="00F0533A" w:rsidP="00F0533A">
      <w:pPr>
        <w:spacing w:before="240" w:line="276" w:lineRule="auto"/>
        <w:jc w:val="both"/>
        <w:rPr>
          <w:rFonts w:ascii="Arial" w:eastAsiaTheme="minorHAnsi" w:hAnsi="Arial" w:cs="Arial"/>
          <w:b/>
          <w:bCs/>
          <w:i/>
          <w:iCs/>
          <w:caps/>
          <w:color w:val="31849B" w:themeColor="accent5" w:themeShade="BF"/>
          <w:lang w:eastAsia="en-US"/>
        </w:rPr>
      </w:pPr>
      <w:r w:rsidRPr="00F0533A">
        <w:rPr>
          <w:rFonts w:ascii="Arial" w:eastAsiaTheme="minorHAnsi" w:hAnsi="Arial" w:cs="Arial"/>
          <w:b/>
          <w:bCs/>
          <w:i/>
          <w:iCs/>
          <w:caps/>
          <w:color w:val="31849B" w:themeColor="accent5" w:themeShade="BF"/>
          <w:lang w:eastAsia="en-US"/>
        </w:rPr>
        <w:t>Upřesňující informace</w:t>
      </w:r>
    </w:p>
    <w:p w14:paraId="636BE905" w14:textId="6B430D46" w:rsidR="00F0533A" w:rsidRDefault="00F0533A" w:rsidP="00F0533A">
      <w:pPr>
        <w:spacing w:after="240"/>
        <w:jc w:val="both"/>
        <w:rPr>
          <w:rFonts w:ascii="Arial" w:hAnsi="Arial" w:cs="Arial"/>
          <w:sz w:val="22"/>
          <w:szCs w:val="22"/>
        </w:rPr>
      </w:pPr>
      <w:r w:rsidRPr="002D3B77">
        <w:rPr>
          <w:rFonts w:ascii="Arial" w:hAnsi="Arial" w:cs="Arial"/>
          <w:sz w:val="22"/>
          <w:szCs w:val="22"/>
        </w:rPr>
        <w:t>Indikátor je povinný k výběru a naplnění pro projek</w:t>
      </w:r>
      <w:r w:rsidR="002D3B77" w:rsidRPr="002D3B77">
        <w:rPr>
          <w:rFonts w:ascii="Arial" w:hAnsi="Arial" w:cs="Arial"/>
          <w:sz w:val="22"/>
          <w:szCs w:val="22"/>
        </w:rPr>
        <w:t xml:space="preserve">ty, jejichž součástí je </w:t>
      </w:r>
      <w:r w:rsidR="002F7959">
        <w:rPr>
          <w:rFonts w:ascii="Arial" w:hAnsi="Arial" w:cs="Arial"/>
          <w:sz w:val="22"/>
          <w:szCs w:val="22"/>
        </w:rPr>
        <w:t xml:space="preserve">realizace </w:t>
      </w:r>
      <w:r w:rsidR="002F7959" w:rsidRPr="002F7959">
        <w:rPr>
          <w:rFonts w:ascii="Arial" w:hAnsi="Arial" w:cs="Arial"/>
          <w:sz w:val="22"/>
          <w:szCs w:val="22"/>
        </w:rPr>
        <w:t>infrastruktury pro parkování jízdn</w:t>
      </w:r>
      <w:r w:rsidR="002F7959">
        <w:rPr>
          <w:rFonts w:ascii="Arial" w:hAnsi="Arial" w:cs="Arial"/>
          <w:sz w:val="22"/>
          <w:szCs w:val="22"/>
        </w:rPr>
        <w:t>í</w:t>
      </w:r>
      <w:r w:rsidR="002F7959" w:rsidRPr="002F7959">
        <w:rPr>
          <w:rFonts w:ascii="Arial" w:hAnsi="Arial" w:cs="Arial"/>
          <w:sz w:val="22"/>
          <w:szCs w:val="22"/>
        </w:rPr>
        <w:t>ch kol</w:t>
      </w:r>
      <w:r w:rsidR="002F7959">
        <w:rPr>
          <w:rFonts w:ascii="Arial" w:hAnsi="Arial" w:cs="Arial"/>
          <w:sz w:val="22"/>
          <w:szCs w:val="22"/>
        </w:rPr>
        <w:t xml:space="preserve">, a pro všechny projekty </w:t>
      </w:r>
      <w:r w:rsidR="002F7959" w:rsidRPr="002F7959">
        <w:rPr>
          <w:rFonts w:ascii="Arial" w:hAnsi="Arial" w:cs="Arial"/>
          <w:sz w:val="22"/>
          <w:szCs w:val="22"/>
        </w:rPr>
        <w:t>realizace doprovodné cyklistické infrastruktury při vyhrazených komunikacích pro cyklisty s vysokou intenzitou dopravy</w:t>
      </w:r>
      <w:r w:rsidR="002F7959">
        <w:rPr>
          <w:rFonts w:ascii="Arial" w:hAnsi="Arial" w:cs="Arial"/>
          <w:sz w:val="22"/>
          <w:szCs w:val="22"/>
        </w:rPr>
        <w:t>.</w:t>
      </w:r>
    </w:p>
    <w:p w14:paraId="24324B55" w14:textId="77777777" w:rsidR="00803E79" w:rsidRPr="002318A5" w:rsidRDefault="00803E79" w:rsidP="002318A5">
      <w:pPr>
        <w:pStyle w:val="Odstavecseseznamem"/>
        <w:numPr>
          <w:ilvl w:val="0"/>
          <w:numId w:val="39"/>
        </w:numPr>
        <w:spacing w:after="240" w:line="276" w:lineRule="auto"/>
        <w:ind w:left="714" w:hanging="357"/>
        <w:jc w:val="both"/>
        <w:rPr>
          <w:rFonts w:ascii="Arial" w:hAnsi="Arial" w:cs="Arial"/>
          <w:sz w:val="22"/>
          <w:szCs w:val="22"/>
        </w:rPr>
      </w:pPr>
      <w:r w:rsidRPr="002318A5">
        <w:rPr>
          <w:rFonts w:ascii="Arial" w:hAnsi="Arial" w:cs="Arial"/>
          <w:sz w:val="22"/>
          <w:szCs w:val="22"/>
        </w:rPr>
        <w:t>Podkladem pro stanovení cílové hodnoty indikátoru na úrovni projektu je zejména odpovídající projektová dokumentace stavby řešené infrastruktury pro cyklistickou dopravu.</w:t>
      </w:r>
    </w:p>
    <w:p w14:paraId="13BFC2E3" w14:textId="73D22D42" w:rsidR="00803E79" w:rsidRPr="002318A5" w:rsidRDefault="00803E79" w:rsidP="002318A5">
      <w:pPr>
        <w:pStyle w:val="Odstavecseseznamem"/>
        <w:numPr>
          <w:ilvl w:val="0"/>
          <w:numId w:val="39"/>
        </w:numPr>
        <w:spacing w:after="240" w:line="276" w:lineRule="auto"/>
        <w:ind w:left="714" w:hanging="357"/>
        <w:jc w:val="both"/>
        <w:rPr>
          <w:rFonts w:ascii="Arial" w:hAnsi="Arial" w:cs="Arial"/>
          <w:sz w:val="22"/>
          <w:szCs w:val="22"/>
        </w:rPr>
      </w:pPr>
      <w:r w:rsidRPr="002318A5">
        <w:rPr>
          <w:rFonts w:ascii="Arial" w:hAnsi="Arial" w:cs="Arial"/>
          <w:sz w:val="22"/>
          <w:szCs w:val="22"/>
        </w:rPr>
        <w:t>Počet parkovacích míst pro jízdní kola je prostý počet jednotlivých parkovacích míst pro jízdní kola zajištěných doprovodnou cyklistickou infrastrukturou, např. stojany</w:t>
      </w:r>
      <w:r w:rsidR="00740E71">
        <w:rPr>
          <w:rFonts w:ascii="Arial" w:hAnsi="Arial" w:cs="Arial"/>
          <w:sz w:val="22"/>
          <w:szCs w:val="22"/>
        </w:rPr>
        <w:t xml:space="preserve"> (nejedná se o počet stojanů)</w:t>
      </w:r>
      <w:r w:rsidRPr="002318A5">
        <w:rPr>
          <w:rFonts w:ascii="Arial" w:hAnsi="Arial" w:cs="Arial"/>
          <w:sz w:val="22"/>
          <w:szCs w:val="22"/>
        </w:rPr>
        <w:t>.</w:t>
      </w:r>
    </w:p>
    <w:p w14:paraId="29343551" w14:textId="537DBAEB" w:rsidR="00803E79" w:rsidRPr="002318A5" w:rsidRDefault="00803E79" w:rsidP="002318A5">
      <w:pPr>
        <w:pStyle w:val="Odstavecseseznamem"/>
        <w:numPr>
          <w:ilvl w:val="0"/>
          <w:numId w:val="39"/>
        </w:numPr>
        <w:spacing w:after="240" w:line="276" w:lineRule="auto"/>
        <w:ind w:left="714" w:hanging="357"/>
        <w:jc w:val="both"/>
        <w:rPr>
          <w:rFonts w:ascii="Arial" w:hAnsi="Arial" w:cs="Arial"/>
          <w:sz w:val="22"/>
          <w:szCs w:val="22"/>
        </w:rPr>
      </w:pPr>
      <w:r w:rsidRPr="00F0533A">
        <w:rPr>
          <w:rFonts w:ascii="Arial" w:hAnsi="Arial" w:cs="Arial"/>
          <w:noProof/>
          <w:sz w:val="22"/>
          <w:szCs w:val="22"/>
        </w:rPr>
        <mc:AlternateContent>
          <mc:Choice Requires="wps">
            <w:drawing>
              <wp:anchor distT="0" distB="0" distL="114300" distR="114300" simplePos="0" relativeHeight="251663360" behindDoc="1" locked="0" layoutInCell="1" allowOverlap="1" wp14:anchorId="02B79B36" wp14:editId="46EB6740">
                <wp:simplePos x="0" y="0"/>
                <wp:positionH relativeFrom="margin">
                  <wp:posOffset>-24130</wp:posOffset>
                </wp:positionH>
                <wp:positionV relativeFrom="paragraph">
                  <wp:posOffset>506730</wp:posOffset>
                </wp:positionV>
                <wp:extent cx="5791200" cy="533400"/>
                <wp:effectExtent l="0" t="0" r="0" b="0"/>
                <wp:wrapNone/>
                <wp:docPr id="3" name="Obdélník 3"/>
                <wp:cNvGraphicFramePr/>
                <a:graphic xmlns:a="http://schemas.openxmlformats.org/drawingml/2006/main">
                  <a:graphicData uri="http://schemas.microsoft.com/office/word/2010/wordprocessingShape">
                    <wps:wsp>
                      <wps:cNvSpPr/>
                      <wps:spPr>
                        <a:xfrm>
                          <a:off x="0" y="0"/>
                          <a:ext cx="5791200" cy="533400"/>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8D297" id="Obdélník 3" o:spid="_x0000_s1026" style="position:absolute;margin-left:-1.9pt;margin-top:39.9pt;width:456pt;height:4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" fillcolor="#9cc2e5" stroked="f" strokeweight="2pt">
                <w10:wrap anchorx="margin"/>
              </v:rect>
            </w:pict>
          </mc:Fallback>
        </mc:AlternateContent>
      </w:r>
      <w:r w:rsidRPr="002318A5">
        <w:rPr>
          <w:rFonts w:ascii="Arial" w:hAnsi="Arial" w:cs="Arial"/>
          <w:sz w:val="22"/>
          <w:szCs w:val="22"/>
        </w:rPr>
        <w:t>Do hodnoty indikátoru se nezapočítávají vyvolané investice ani zrealizovaná parkovací místa financovaná zcela z nezpůsobilých výdajů projektu.</w:t>
      </w:r>
    </w:p>
    <w:p w14:paraId="5BBBB68C" w14:textId="77777777" w:rsidR="00803E79" w:rsidRPr="002318A5" w:rsidRDefault="00803E79" w:rsidP="002318A5">
      <w:pPr>
        <w:ind w:left="142" w:right="227"/>
        <w:jc w:val="both"/>
        <w:rPr>
          <w:rFonts w:ascii="Arial" w:hAnsi="Arial" w:cs="Arial"/>
          <w:sz w:val="22"/>
          <w:szCs w:val="22"/>
        </w:rPr>
      </w:pPr>
      <w:r w:rsidRPr="002318A5">
        <w:rPr>
          <w:rFonts w:ascii="Arial" w:hAnsi="Arial" w:cs="Arial"/>
          <w:b/>
          <w:bCs/>
          <w:sz w:val="22"/>
          <w:szCs w:val="22"/>
        </w:rPr>
        <w:t>UPOZORNĚNÍ:</w:t>
      </w:r>
    </w:p>
    <w:p w14:paraId="74E51076" w14:textId="29E812CC" w:rsidR="00F0533A" w:rsidRPr="00F0533A" w:rsidRDefault="00F0533A" w:rsidP="00F0533A">
      <w:pPr>
        <w:spacing w:before="240" w:after="240"/>
        <w:jc w:val="both"/>
        <w:rPr>
          <w:rFonts w:ascii="Arial" w:hAnsi="Arial" w:cs="Arial"/>
          <w:sz w:val="22"/>
          <w:szCs w:val="22"/>
        </w:rPr>
      </w:pPr>
      <w:r w:rsidRPr="00F0533A">
        <w:rPr>
          <w:rFonts w:ascii="Arial" w:hAnsi="Arial" w:cs="Arial"/>
          <w:sz w:val="22"/>
          <w:szCs w:val="22"/>
        </w:rPr>
        <w:t xml:space="preserve">Hodnota je </w:t>
      </w:r>
      <w:r w:rsidRPr="002D3B77">
        <w:rPr>
          <w:rFonts w:ascii="Arial" w:hAnsi="Arial" w:cs="Arial"/>
          <w:sz w:val="22"/>
          <w:szCs w:val="22"/>
        </w:rPr>
        <w:t>vykazována s přesností na celé jednotky</w:t>
      </w:r>
      <w:r w:rsidR="002D3B77" w:rsidRPr="002D3B77">
        <w:rPr>
          <w:rFonts w:ascii="Arial" w:hAnsi="Arial" w:cs="Arial"/>
          <w:sz w:val="22"/>
          <w:szCs w:val="22"/>
        </w:rPr>
        <w:t>.</w:t>
      </w:r>
    </w:p>
    <w:p w14:paraId="1092AA7F" w14:textId="2E08425C" w:rsidR="00F0533A" w:rsidRPr="00F0533A" w:rsidRDefault="00F0533A" w:rsidP="00F0533A">
      <w:pPr>
        <w:keepNext/>
        <w:spacing w:before="240" w:line="276" w:lineRule="auto"/>
        <w:jc w:val="both"/>
        <w:rPr>
          <w:rFonts w:ascii="Arial" w:eastAsiaTheme="minorHAnsi" w:hAnsi="Arial" w:cs="Arial"/>
          <w:b/>
          <w:bCs/>
          <w:i/>
          <w:iCs/>
          <w:caps/>
          <w:color w:val="31849B" w:themeColor="accent5" w:themeShade="BF"/>
          <w:lang w:eastAsia="en-US"/>
        </w:rPr>
      </w:pPr>
      <w:r w:rsidRPr="00F0533A">
        <w:rPr>
          <w:rFonts w:ascii="Arial" w:eastAsiaTheme="minorHAnsi" w:hAnsi="Arial" w:cs="Arial"/>
          <w:b/>
          <w:bCs/>
          <w:i/>
          <w:iCs/>
          <w:caps/>
          <w:color w:val="31849B" w:themeColor="accent5" w:themeShade="BF"/>
          <w:lang w:eastAsia="en-US"/>
        </w:rPr>
        <w:t>postup vykazování</w:t>
      </w:r>
    </w:p>
    <w:p w14:paraId="65A37811" w14:textId="03346A87" w:rsidR="00F0533A" w:rsidRPr="002D3B77" w:rsidRDefault="00F0533A" w:rsidP="00F0533A">
      <w:pPr>
        <w:spacing w:after="240" w:line="276" w:lineRule="auto"/>
        <w:jc w:val="both"/>
        <w:rPr>
          <w:rFonts w:ascii="Arial" w:hAnsi="Arial" w:cs="Arial"/>
          <w:b/>
          <w:bCs/>
          <w:color w:val="4F81BD" w:themeColor="accent1"/>
          <w:sz w:val="22"/>
          <w:szCs w:val="22"/>
        </w:rPr>
      </w:pPr>
      <w:r w:rsidRPr="00F0533A">
        <w:rPr>
          <w:rFonts w:ascii="Arial" w:hAnsi="Arial" w:cs="Arial"/>
          <w:b/>
          <w:bCs/>
          <w:sz w:val="22"/>
          <w:szCs w:val="22"/>
        </w:rPr>
        <w:t xml:space="preserve">Výchozí hodnota: </w:t>
      </w:r>
      <w:r w:rsidRPr="00F0533A">
        <w:rPr>
          <w:rFonts w:ascii="Arial" w:hAnsi="Arial" w:cs="Arial"/>
          <w:sz w:val="22"/>
          <w:szCs w:val="22"/>
        </w:rPr>
        <w:t xml:space="preserve">V případě výstupových indikátorů je výchozí hodnota vždy nulová a nelze ji na žádosti o podporu vyplnit. Stejně tak i datum výchozí hodnoty není ze strany žadatele </w:t>
      </w:r>
      <w:r w:rsidRPr="002D3B77">
        <w:rPr>
          <w:rFonts w:ascii="Arial" w:hAnsi="Arial" w:cs="Arial"/>
          <w:sz w:val="22"/>
          <w:szCs w:val="22"/>
        </w:rPr>
        <w:t>editovatelné a bude doplněno automaticky jako datum podání žádosti o podporu.</w:t>
      </w:r>
    </w:p>
    <w:p w14:paraId="4B420B47" w14:textId="19A230D9" w:rsidR="00F0533A" w:rsidRPr="002D3B77" w:rsidRDefault="00F0533A" w:rsidP="00F0533A">
      <w:pPr>
        <w:spacing w:after="200" w:line="276" w:lineRule="auto"/>
        <w:jc w:val="both"/>
        <w:rPr>
          <w:rFonts w:ascii="Arial" w:hAnsi="Arial" w:cs="Arial"/>
          <w:sz w:val="22"/>
          <w:szCs w:val="22"/>
        </w:rPr>
      </w:pPr>
      <w:r w:rsidRPr="002D3B77">
        <w:rPr>
          <w:rFonts w:ascii="Arial" w:hAnsi="Arial" w:cs="Arial"/>
          <w:b/>
          <w:bCs/>
          <w:sz w:val="22"/>
          <w:szCs w:val="22"/>
        </w:rPr>
        <w:t>Cílová hodnota:</w:t>
      </w:r>
      <w:r w:rsidR="002D3B77" w:rsidRPr="002D3B77">
        <w:rPr>
          <w:rFonts w:ascii="Arial" w:hAnsi="Arial" w:cs="Arial"/>
          <w:b/>
          <w:bCs/>
          <w:sz w:val="22"/>
          <w:szCs w:val="22"/>
        </w:rPr>
        <w:t xml:space="preserve"> </w:t>
      </w:r>
      <w:r w:rsidR="002D3B77" w:rsidRPr="002D3B77">
        <w:rPr>
          <w:rFonts w:ascii="Arial" w:hAnsi="Arial" w:cs="Arial"/>
          <w:sz w:val="22"/>
          <w:szCs w:val="22"/>
        </w:rPr>
        <w:t>plánovaný</w:t>
      </w:r>
      <w:r w:rsidRPr="002D3B77">
        <w:rPr>
          <w:rFonts w:ascii="Arial" w:hAnsi="Arial" w:cs="Arial"/>
          <w:sz w:val="22"/>
          <w:szCs w:val="22"/>
        </w:rPr>
        <w:t xml:space="preserve"> počet</w:t>
      </w:r>
      <w:r w:rsidR="002D3B77" w:rsidRPr="002D3B77">
        <w:rPr>
          <w:rFonts w:ascii="Arial" w:hAnsi="Arial" w:cs="Arial"/>
          <w:sz w:val="22"/>
          <w:szCs w:val="22"/>
        </w:rPr>
        <w:t xml:space="preserve"> parkovacích míst pro jízdní kola</w:t>
      </w:r>
      <w:r w:rsidRPr="002D3B77">
        <w:rPr>
          <w:rFonts w:ascii="Arial" w:hAnsi="Arial" w:cs="Arial"/>
          <w:sz w:val="22"/>
          <w:szCs w:val="22"/>
        </w:rPr>
        <w:t xml:space="preserve">, které se žadatel zavazuje </w:t>
      </w:r>
      <w:r w:rsidR="001B24B5">
        <w:rPr>
          <w:rFonts w:ascii="Arial" w:hAnsi="Arial" w:cs="Arial"/>
          <w:color w:val="000000" w:themeColor="text1"/>
          <w:sz w:val="22"/>
          <w:szCs w:val="22"/>
        </w:rPr>
        <w:t>realizovat</w:t>
      </w:r>
      <w:r w:rsidRPr="002D3B77">
        <w:rPr>
          <w:rFonts w:ascii="Arial" w:hAnsi="Arial" w:cs="Arial"/>
          <w:color w:val="000000" w:themeColor="text1"/>
          <w:sz w:val="22"/>
          <w:szCs w:val="22"/>
        </w:rPr>
        <w:t xml:space="preserve">. </w:t>
      </w:r>
      <w:r w:rsidRPr="002D3B77">
        <w:rPr>
          <w:rFonts w:ascii="Arial" w:hAnsi="Arial" w:cs="Arial"/>
          <w:b/>
          <w:bCs/>
          <w:sz w:val="22"/>
          <w:szCs w:val="22"/>
        </w:rPr>
        <w:t>Žadatel v</w:t>
      </w:r>
      <w:r w:rsidR="00236420">
        <w:rPr>
          <w:rFonts w:ascii="Arial" w:hAnsi="Arial" w:cs="Arial"/>
          <w:b/>
          <w:bCs/>
          <w:sz w:val="22"/>
          <w:szCs w:val="22"/>
        </w:rPr>
        <w:t> </w:t>
      </w:r>
      <w:r w:rsidR="00236420" w:rsidRPr="00B6719E">
        <w:rPr>
          <w:rFonts w:ascii="Arial" w:hAnsi="Arial" w:cs="Arial"/>
          <w:b/>
          <w:bCs/>
          <w:sz w:val="22"/>
          <w:szCs w:val="22"/>
        </w:rPr>
        <w:t>Podkladech pro hodnocení</w:t>
      </w:r>
      <w:r w:rsidRPr="002D3B77">
        <w:rPr>
          <w:rFonts w:ascii="Arial" w:hAnsi="Arial" w:cs="Arial"/>
          <w:b/>
          <w:bCs/>
          <w:sz w:val="22"/>
          <w:szCs w:val="22"/>
        </w:rPr>
        <w:t xml:space="preserve"> uvede způsob výpočtu tak, aby jeho výsledek odpovídal cílové hodnotě a bylo možné ho ověřit. </w:t>
      </w:r>
      <w:r w:rsidRPr="002D3B77">
        <w:rPr>
          <w:rFonts w:ascii="Arial" w:hAnsi="Arial" w:cs="Arial"/>
          <w:sz w:val="22"/>
          <w:szCs w:val="22"/>
        </w:rPr>
        <w:t xml:space="preserve">Tuto hodnotu se příjemce zavazuje naplnit k datu </w:t>
      </w:r>
      <w:r w:rsidRPr="002D3B77">
        <w:rPr>
          <w:rFonts w:ascii="Arial" w:hAnsi="Arial" w:cs="Arial"/>
          <w:color w:val="000000" w:themeColor="text1"/>
          <w:sz w:val="22"/>
          <w:szCs w:val="22"/>
        </w:rPr>
        <w:t>ukončení realizace projektu</w:t>
      </w:r>
      <w:r w:rsidR="002D3B77" w:rsidRPr="002D3B77">
        <w:rPr>
          <w:rFonts w:ascii="Arial" w:hAnsi="Arial" w:cs="Arial"/>
          <w:color w:val="000000" w:themeColor="text1"/>
          <w:sz w:val="22"/>
          <w:szCs w:val="22"/>
        </w:rPr>
        <w:t>.</w:t>
      </w:r>
    </w:p>
    <w:p w14:paraId="3FB77A3C" w14:textId="5B6C9993" w:rsidR="00F0533A" w:rsidRPr="002D3B77" w:rsidRDefault="00F0533A" w:rsidP="00F0533A">
      <w:pPr>
        <w:spacing w:after="200" w:line="276" w:lineRule="auto"/>
        <w:jc w:val="both"/>
        <w:rPr>
          <w:rFonts w:ascii="Arial" w:hAnsi="Arial" w:cs="Arial"/>
          <w:color w:val="FF0000"/>
          <w:sz w:val="22"/>
          <w:szCs w:val="22"/>
        </w:rPr>
      </w:pPr>
      <w:r w:rsidRPr="002D3B77">
        <w:rPr>
          <w:rFonts w:ascii="Arial" w:hAnsi="Arial" w:cs="Arial"/>
          <w:b/>
          <w:bCs/>
          <w:sz w:val="22"/>
          <w:szCs w:val="22"/>
        </w:rPr>
        <w:t>Datum cílové hodnoty:</w:t>
      </w:r>
      <w:r w:rsidRPr="002D3B77">
        <w:rPr>
          <w:rFonts w:ascii="Arial" w:hAnsi="Arial" w:cs="Arial"/>
          <w:sz w:val="22"/>
          <w:szCs w:val="22"/>
        </w:rPr>
        <w:t xml:space="preserve"> Žadatel v žádosti o podporu stanovuje jako datum ukončení realizace projekt</w:t>
      </w:r>
      <w:r w:rsidR="002D3B77" w:rsidRPr="002D3B77">
        <w:rPr>
          <w:rFonts w:ascii="Arial" w:hAnsi="Arial" w:cs="Arial"/>
          <w:sz w:val="22"/>
          <w:szCs w:val="22"/>
        </w:rPr>
        <w:t>u</w:t>
      </w:r>
      <w:r w:rsidRPr="002D3B77">
        <w:rPr>
          <w:rFonts w:ascii="Arial" w:hAnsi="Arial" w:cs="Arial"/>
          <w:sz w:val="22"/>
          <w:szCs w:val="22"/>
        </w:rPr>
        <w:t>. Datum se považuje za Rozhodné datum pro naplnění indikátoru a jsou k němu vztahovány další postupy v době udržitelnosti.</w:t>
      </w:r>
    </w:p>
    <w:p w14:paraId="7CD928A9" w14:textId="423E3BBB" w:rsidR="00F0533A" w:rsidRPr="00F0533A" w:rsidRDefault="00F0533A" w:rsidP="00F0533A">
      <w:pPr>
        <w:spacing w:after="200" w:line="276" w:lineRule="auto"/>
        <w:jc w:val="both"/>
        <w:rPr>
          <w:rFonts w:ascii="Arial" w:hAnsi="Arial" w:cs="Arial"/>
          <w:sz w:val="22"/>
          <w:szCs w:val="22"/>
        </w:rPr>
      </w:pPr>
      <w:r w:rsidRPr="00F0533A">
        <w:rPr>
          <w:rFonts w:ascii="Arial" w:hAnsi="Arial" w:cs="Arial"/>
          <w:sz w:val="22"/>
          <w:szCs w:val="22"/>
        </w:rPr>
        <w:t>Datum je nutné při případném prodloužení realizace projektu udržovat aktuální, tj. v souladu s výše uvedeným.</w:t>
      </w:r>
    </w:p>
    <w:p w14:paraId="31F9C592" w14:textId="330B80D3" w:rsidR="00F0533A" w:rsidRPr="00F0533A" w:rsidRDefault="00F0533A" w:rsidP="00F0533A">
      <w:pPr>
        <w:spacing w:after="200" w:line="276" w:lineRule="auto"/>
        <w:jc w:val="both"/>
        <w:rPr>
          <w:rFonts w:ascii="Arial" w:hAnsi="Arial" w:cs="Arial"/>
          <w:sz w:val="22"/>
          <w:szCs w:val="22"/>
        </w:rPr>
      </w:pPr>
      <w:r w:rsidRPr="00F0533A">
        <w:rPr>
          <w:rFonts w:ascii="Arial" w:hAnsi="Arial" w:cs="Arial"/>
          <w:b/>
          <w:bCs/>
          <w:sz w:val="22"/>
          <w:szCs w:val="22"/>
        </w:rPr>
        <w:lastRenderedPageBreak/>
        <w:t xml:space="preserve">Dosažená </w:t>
      </w:r>
      <w:r w:rsidRPr="002D3B77">
        <w:rPr>
          <w:rFonts w:ascii="Arial" w:hAnsi="Arial" w:cs="Arial"/>
          <w:b/>
          <w:bCs/>
          <w:sz w:val="22"/>
          <w:szCs w:val="22"/>
        </w:rPr>
        <w:t>hodnota:</w:t>
      </w:r>
      <w:r w:rsidRPr="002D3B77">
        <w:rPr>
          <w:rFonts w:ascii="Arial" w:hAnsi="Arial" w:cs="Arial"/>
          <w:sz w:val="22"/>
          <w:szCs w:val="22"/>
        </w:rPr>
        <w:t xml:space="preserve"> </w:t>
      </w:r>
      <w:r w:rsidR="002D3B77" w:rsidRPr="002D3B77">
        <w:rPr>
          <w:rFonts w:ascii="Arial" w:hAnsi="Arial" w:cs="Arial"/>
          <w:sz w:val="22"/>
          <w:szCs w:val="22"/>
        </w:rPr>
        <w:t>počet parkovacích míst pro jízdní kola, kter</w:t>
      </w:r>
      <w:r w:rsidR="001B24B5">
        <w:rPr>
          <w:rFonts w:ascii="Arial" w:hAnsi="Arial" w:cs="Arial"/>
          <w:sz w:val="22"/>
          <w:szCs w:val="22"/>
        </w:rPr>
        <w:t>á</w:t>
      </w:r>
      <w:r w:rsidR="002D3B77" w:rsidRPr="002D3B77">
        <w:rPr>
          <w:rFonts w:ascii="Arial" w:hAnsi="Arial" w:cs="Arial"/>
          <w:sz w:val="22"/>
          <w:szCs w:val="22"/>
        </w:rPr>
        <w:t xml:space="preserve"> </w:t>
      </w:r>
      <w:r w:rsidR="001B24B5" w:rsidRPr="001B24B5">
        <w:rPr>
          <w:rFonts w:ascii="Arial" w:hAnsi="Arial" w:cs="Arial"/>
          <w:sz w:val="22"/>
          <w:szCs w:val="22"/>
        </w:rPr>
        <w:t>byla v rámci projektu skutečně zrealizována</w:t>
      </w:r>
      <w:r w:rsidR="002D3B77" w:rsidRPr="002D3B77">
        <w:rPr>
          <w:rFonts w:ascii="Arial" w:hAnsi="Arial" w:cs="Arial"/>
          <w:sz w:val="22"/>
          <w:szCs w:val="22"/>
        </w:rPr>
        <w:t xml:space="preserve">. </w:t>
      </w:r>
      <w:r w:rsidRPr="002D3B77">
        <w:rPr>
          <w:rFonts w:ascii="Arial" w:hAnsi="Arial" w:cs="Arial"/>
          <w:sz w:val="22"/>
          <w:szCs w:val="22"/>
        </w:rPr>
        <w:t>Hodnotu je nutné poprvé vykázat nejpozději k Rozhodnému datu, tedy v Závěrečné zprávě o realizaci projektu k datu ukončení realizace projektu</w:t>
      </w:r>
      <w:r w:rsidR="002D3B77" w:rsidRPr="002D3B77">
        <w:rPr>
          <w:rFonts w:ascii="Arial" w:hAnsi="Arial" w:cs="Arial"/>
          <w:sz w:val="22"/>
          <w:szCs w:val="22"/>
        </w:rPr>
        <w:t>.</w:t>
      </w:r>
    </w:p>
    <w:p w14:paraId="561D3459" w14:textId="764BDCF2" w:rsidR="00F0533A" w:rsidRPr="00F0533A" w:rsidRDefault="00F0533A" w:rsidP="00F0533A">
      <w:pPr>
        <w:spacing w:after="200" w:line="276" w:lineRule="auto"/>
        <w:jc w:val="both"/>
        <w:rPr>
          <w:rFonts w:ascii="Arial" w:hAnsi="Arial" w:cs="Arial"/>
          <w:sz w:val="22"/>
          <w:szCs w:val="22"/>
        </w:rPr>
      </w:pPr>
      <w:r w:rsidRPr="002D3B77">
        <w:rPr>
          <w:rFonts w:ascii="Arial" w:hAnsi="Arial" w:cs="Arial"/>
          <w:sz w:val="22"/>
          <w:szCs w:val="22"/>
        </w:rPr>
        <w:t>Dosažená hodnota vykazovaná po Rozhodném datu se již váže k prokázání udržování výstupu projektu a je vykazována ve Zprávách o udržitelnosti projektu</w:t>
      </w:r>
      <w:r w:rsidRPr="002D3B77">
        <w:rPr>
          <w:rFonts w:ascii="Arial" w:hAnsi="Arial" w:cs="Arial"/>
          <w:color w:val="FF0000"/>
          <w:sz w:val="22"/>
          <w:szCs w:val="22"/>
        </w:rPr>
        <w:t xml:space="preserve"> </w:t>
      </w:r>
      <w:r w:rsidRPr="002D3B77">
        <w:rPr>
          <w:rFonts w:ascii="Arial" w:hAnsi="Arial" w:cs="Arial"/>
          <w:sz w:val="22"/>
          <w:szCs w:val="22"/>
        </w:rPr>
        <w:t>pouze v případě změny výše dosažené hodnoty, a to včetně popisu, kdy a proč ke změně došlo.</w:t>
      </w:r>
    </w:p>
    <w:p w14:paraId="396E3105" w14:textId="77777777" w:rsidR="00F0533A" w:rsidRPr="00F0533A" w:rsidRDefault="00F0533A" w:rsidP="00F0533A">
      <w:pPr>
        <w:keepNext/>
        <w:spacing w:line="276" w:lineRule="auto"/>
        <w:jc w:val="both"/>
        <w:rPr>
          <w:rFonts w:ascii="Arial" w:eastAsiaTheme="minorHAnsi" w:hAnsi="Arial" w:cs="Arial"/>
          <w:b/>
          <w:bCs/>
          <w:i/>
          <w:iCs/>
          <w:caps/>
          <w:color w:val="31849B" w:themeColor="accent5" w:themeShade="BF"/>
          <w:lang w:eastAsia="en-US"/>
        </w:rPr>
      </w:pPr>
      <w:r w:rsidRPr="00F0533A">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0533A" w:rsidRPr="00F0533A" w14:paraId="17DF024D" w14:textId="77777777" w:rsidTr="00A251DF">
        <w:trPr>
          <w:trHeight w:val="1793"/>
        </w:trPr>
        <w:tc>
          <w:tcPr>
            <w:tcW w:w="4575" w:type="dxa"/>
          </w:tcPr>
          <w:p w14:paraId="535B5BDD" w14:textId="77777777" w:rsidR="00F0533A" w:rsidRPr="00F46A30" w:rsidRDefault="00F0533A" w:rsidP="00F0533A">
            <w:pPr>
              <w:spacing w:line="276" w:lineRule="auto"/>
              <w:ind w:left="52"/>
              <w:jc w:val="both"/>
              <w:rPr>
                <w:rFonts w:ascii="Arial" w:hAnsi="Arial" w:cs="Arial"/>
                <w:b/>
                <w:bCs/>
                <w:sz w:val="22"/>
                <w:szCs w:val="22"/>
              </w:rPr>
            </w:pPr>
            <w:r w:rsidRPr="00FD41E1">
              <w:rPr>
                <w:rFonts w:ascii="Arial" w:hAnsi="Arial" w:cs="Arial"/>
                <w:b/>
                <w:bCs/>
                <w:sz w:val="22"/>
                <w:szCs w:val="22"/>
              </w:rPr>
              <w:t>V Závěrečné zprávě o realizaci projektu:</w:t>
            </w:r>
          </w:p>
          <w:p w14:paraId="72E01F53" w14:textId="77777777" w:rsidR="00F0533A" w:rsidRPr="002318A5" w:rsidRDefault="00F0533A" w:rsidP="00F0533A">
            <w:pPr>
              <w:numPr>
                <w:ilvl w:val="0"/>
                <w:numId w:val="36"/>
              </w:numPr>
              <w:spacing w:after="200"/>
              <w:ind w:left="694"/>
              <w:contextualSpacing/>
              <w:jc w:val="both"/>
              <w:rPr>
                <w:rFonts w:ascii="Arial" w:hAnsi="Arial" w:cs="Arial"/>
                <w:sz w:val="22"/>
                <w:szCs w:val="22"/>
              </w:rPr>
            </w:pPr>
            <w:r w:rsidRPr="002318A5">
              <w:rPr>
                <w:rFonts w:ascii="Arial" w:hAnsi="Arial" w:cs="Arial"/>
                <w:sz w:val="22"/>
                <w:szCs w:val="22"/>
              </w:rPr>
              <w:t xml:space="preserve">Fotodokumentace </w:t>
            </w:r>
          </w:p>
          <w:p w14:paraId="22CA7097" w14:textId="77777777" w:rsidR="00F0533A" w:rsidRPr="002318A5" w:rsidRDefault="00F0533A" w:rsidP="00F0533A">
            <w:pPr>
              <w:numPr>
                <w:ilvl w:val="0"/>
                <w:numId w:val="36"/>
              </w:numPr>
              <w:contextualSpacing/>
              <w:jc w:val="both"/>
              <w:rPr>
                <w:rFonts w:ascii="Arial" w:hAnsi="Arial" w:cs="Arial"/>
                <w:sz w:val="22"/>
                <w:szCs w:val="22"/>
              </w:rPr>
            </w:pPr>
            <w:r w:rsidRPr="002318A5">
              <w:rPr>
                <w:rFonts w:ascii="Arial" w:hAnsi="Arial" w:cs="Arial"/>
                <w:sz w:val="22"/>
                <w:szCs w:val="22"/>
              </w:rPr>
              <w:t>Doklad o předání a převzetí díla</w:t>
            </w:r>
          </w:p>
          <w:p w14:paraId="22880138" w14:textId="77777777" w:rsidR="00F0533A" w:rsidRDefault="00F0533A" w:rsidP="00F0533A">
            <w:pPr>
              <w:numPr>
                <w:ilvl w:val="0"/>
                <w:numId w:val="36"/>
              </w:numPr>
              <w:contextualSpacing/>
              <w:jc w:val="both"/>
              <w:rPr>
                <w:rFonts w:ascii="Arial" w:hAnsi="Arial" w:cs="Arial"/>
                <w:sz w:val="22"/>
                <w:szCs w:val="22"/>
              </w:rPr>
            </w:pPr>
            <w:r w:rsidRPr="002318A5">
              <w:rPr>
                <w:rFonts w:ascii="Arial" w:hAnsi="Arial" w:cs="Arial"/>
                <w:sz w:val="22"/>
                <w:szCs w:val="22"/>
              </w:rPr>
              <w:t>Kolaudační souhlas nebo kolaudační rozhodnutí nebo rozhodnutí o povolení zkušebního provozu nebo rozhodnutí o povolení k předčasnému užívání stavby</w:t>
            </w:r>
          </w:p>
          <w:p w14:paraId="4B4E25E6" w14:textId="18E83F5C" w:rsidR="00200CD8" w:rsidRPr="002318A5" w:rsidRDefault="00200CD8" w:rsidP="00F0533A">
            <w:pPr>
              <w:numPr>
                <w:ilvl w:val="0"/>
                <w:numId w:val="36"/>
              </w:numPr>
              <w:contextualSpacing/>
              <w:jc w:val="both"/>
              <w:rPr>
                <w:rFonts w:ascii="Arial" w:hAnsi="Arial" w:cs="Arial"/>
                <w:sz w:val="22"/>
                <w:szCs w:val="22"/>
              </w:rPr>
            </w:pPr>
            <w:r>
              <w:rPr>
                <w:rFonts w:ascii="Arial" w:hAnsi="Arial" w:cs="Arial"/>
                <w:sz w:val="22"/>
                <w:szCs w:val="22"/>
              </w:rPr>
              <w:t>S</w:t>
            </w:r>
            <w:r w:rsidRPr="00200CD8">
              <w:rPr>
                <w:rFonts w:ascii="Arial" w:hAnsi="Arial" w:cs="Arial"/>
                <w:sz w:val="22"/>
                <w:szCs w:val="22"/>
              </w:rPr>
              <w:t>ituační výkres se zakreslenou realizovanou infrastrukturou pro parkování jízdních kol včetně údaje o počtu parkovacích míst minimálně v měřítku katastrální mapy</w:t>
            </w:r>
          </w:p>
        </w:tc>
        <w:tc>
          <w:tcPr>
            <w:tcW w:w="4691" w:type="dxa"/>
          </w:tcPr>
          <w:p w14:paraId="1010D41E" w14:textId="77777777" w:rsidR="00F0533A" w:rsidRPr="00F46A30" w:rsidRDefault="00F0533A" w:rsidP="00F0533A">
            <w:pPr>
              <w:spacing w:line="276" w:lineRule="auto"/>
              <w:jc w:val="both"/>
              <w:rPr>
                <w:rFonts w:ascii="Arial" w:hAnsi="Arial" w:cs="Arial"/>
                <w:b/>
                <w:bCs/>
                <w:sz w:val="22"/>
                <w:szCs w:val="22"/>
              </w:rPr>
            </w:pPr>
            <w:r w:rsidRPr="00FD41E1">
              <w:rPr>
                <w:rFonts w:ascii="Arial" w:hAnsi="Arial" w:cs="Arial"/>
                <w:b/>
                <w:bCs/>
                <w:sz w:val="22"/>
                <w:szCs w:val="22"/>
              </w:rPr>
              <w:t>V 1. Zprávě o udržitelnosti projektu:</w:t>
            </w:r>
            <w:r w:rsidRPr="00F46A30">
              <w:rPr>
                <w:rFonts w:ascii="Arial" w:hAnsi="Arial" w:cs="Arial"/>
                <w:b/>
                <w:bCs/>
                <w:sz w:val="28"/>
                <w:szCs w:val="28"/>
              </w:rPr>
              <w:t xml:space="preserve"> </w:t>
            </w:r>
          </w:p>
          <w:p w14:paraId="1EB6E617" w14:textId="77777777" w:rsidR="00F0533A" w:rsidRPr="002318A5" w:rsidRDefault="00F0533A" w:rsidP="00F0533A">
            <w:pPr>
              <w:numPr>
                <w:ilvl w:val="0"/>
                <w:numId w:val="36"/>
              </w:numPr>
              <w:contextualSpacing/>
              <w:rPr>
                <w:rFonts w:ascii="Arial" w:hAnsi="Arial" w:cs="Arial"/>
                <w:sz w:val="22"/>
                <w:szCs w:val="22"/>
              </w:rPr>
            </w:pPr>
            <w:r w:rsidRPr="00F46A30">
              <w:rPr>
                <w:rFonts w:ascii="Arial" w:hAnsi="Arial" w:cs="Arial"/>
                <w:sz w:val="22"/>
                <w:szCs w:val="22"/>
              </w:rPr>
              <w:t>Indikátor je dokládán vždy v Závěrečné zprávě o realizaci, 1. ZoU nemá žádné pevně stanovené materiály</w:t>
            </w:r>
          </w:p>
          <w:p w14:paraId="69A5C763" w14:textId="77777777" w:rsidR="00F0533A" w:rsidRPr="002318A5" w:rsidRDefault="00F0533A" w:rsidP="00F0533A">
            <w:pPr>
              <w:spacing w:line="276" w:lineRule="auto"/>
              <w:ind w:left="52"/>
              <w:jc w:val="both"/>
              <w:rPr>
                <w:rFonts w:ascii="Arial" w:hAnsi="Arial" w:cs="Arial"/>
                <w:b/>
                <w:bCs/>
                <w:sz w:val="22"/>
                <w:szCs w:val="22"/>
              </w:rPr>
            </w:pPr>
          </w:p>
        </w:tc>
      </w:tr>
    </w:tbl>
    <w:p w14:paraId="6167F593" w14:textId="741B9D06" w:rsidR="00F0533A" w:rsidRPr="00F0533A" w:rsidRDefault="00F0533A" w:rsidP="00F0533A">
      <w:pPr>
        <w:spacing w:before="120" w:after="200" w:line="276" w:lineRule="auto"/>
        <w:jc w:val="both"/>
        <w:rPr>
          <w:rFonts w:ascii="Arial" w:hAnsi="Arial" w:cs="Arial"/>
          <w:sz w:val="22"/>
          <w:szCs w:val="22"/>
        </w:rPr>
      </w:pPr>
      <w:r w:rsidRPr="00FD41E1">
        <w:rPr>
          <w:rFonts w:ascii="Arial" w:hAnsi="Arial" w:cs="Arial"/>
          <w:sz w:val="22"/>
          <w:szCs w:val="22"/>
        </w:rPr>
        <w:t xml:space="preserve">Je nutné doložit </w:t>
      </w:r>
      <w:r w:rsidRPr="002318A5">
        <w:rPr>
          <w:rFonts w:ascii="Arial" w:hAnsi="Arial" w:cs="Arial"/>
          <w:sz w:val="22"/>
          <w:szCs w:val="22"/>
        </w:rPr>
        <w:t xml:space="preserve">všechny </w:t>
      </w:r>
      <w:r w:rsidRPr="006F255D">
        <w:rPr>
          <w:rFonts w:ascii="Arial" w:hAnsi="Arial" w:cs="Arial"/>
          <w:sz w:val="22"/>
          <w:szCs w:val="22"/>
        </w:rPr>
        <w:t>uvedené dokumenty. Pokud v době udržitelnosti dojde ke změnám,</w:t>
      </w:r>
      <w:r w:rsidRPr="00F0533A">
        <w:rPr>
          <w:rFonts w:ascii="Arial" w:hAnsi="Arial" w:cs="Arial"/>
          <w:sz w:val="22"/>
          <w:szCs w:val="22"/>
        </w:rPr>
        <w:t xml:space="preserve"> bude v nejbližší následující Zprávě o udržitelnosti projektu vykázána aktualizovaná dosažená hodnota, včetně data, od kterého platí. Zároveň budou opětovně dodány materiály pro její ověření.</w:t>
      </w:r>
    </w:p>
    <w:p w14:paraId="6C44EBAE" w14:textId="77777777" w:rsidR="00F0533A" w:rsidRPr="00F0533A" w:rsidRDefault="00F0533A" w:rsidP="00F0533A">
      <w:pPr>
        <w:keepNext/>
        <w:spacing w:before="240" w:line="276" w:lineRule="auto"/>
        <w:jc w:val="both"/>
        <w:rPr>
          <w:rFonts w:ascii="Arial" w:eastAsiaTheme="minorHAnsi" w:hAnsi="Arial" w:cs="Arial"/>
          <w:b/>
          <w:bCs/>
          <w:i/>
          <w:iCs/>
          <w:caps/>
          <w:color w:val="31849B" w:themeColor="accent5" w:themeShade="BF"/>
          <w:lang w:eastAsia="en-US"/>
        </w:rPr>
      </w:pPr>
      <w:r w:rsidRPr="00F0533A">
        <w:rPr>
          <w:rFonts w:ascii="Arial" w:eastAsiaTheme="minorHAnsi" w:hAnsi="Arial" w:cs="Arial"/>
          <w:b/>
          <w:bCs/>
          <w:i/>
          <w:iCs/>
          <w:caps/>
          <w:color w:val="31849B" w:themeColor="accent5" w:themeShade="BF"/>
          <w:lang w:eastAsia="en-US"/>
        </w:rPr>
        <w:t xml:space="preserve">TOLERANCE DOSAŽENÍ a udržení indikátoru </w:t>
      </w:r>
    </w:p>
    <w:p w14:paraId="2B1265E7" w14:textId="5CCF66B2" w:rsidR="00F0533A" w:rsidRPr="002318A5" w:rsidRDefault="00F0533A" w:rsidP="00F0533A">
      <w:pPr>
        <w:spacing w:after="200" w:line="276" w:lineRule="auto"/>
        <w:jc w:val="both"/>
        <w:rPr>
          <w:rFonts w:ascii="Arial" w:hAnsi="Arial" w:cs="Arial"/>
          <w:sz w:val="22"/>
          <w:szCs w:val="22"/>
        </w:rPr>
      </w:pPr>
      <w:r w:rsidRPr="002318A5">
        <w:rPr>
          <w:rFonts w:ascii="Arial" w:hAnsi="Arial" w:cs="Arial"/>
          <w:sz w:val="22"/>
          <w:szCs w:val="22"/>
        </w:rPr>
        <w:t xml:space="preserve">Toleranční pásmo činí </w:t>
      </w:r>
      <w:r w:rsidRPr="002318A5">
        <w:rPr>
          <w:rFonts w:ascii="Arial" w:hAnsi="Arial" w:cs="Arial"/>
          <w:b/>
          <w:bCs/>
          <w:sz w:val="22"/>
          <w:szCs w:val="22"/>
        </w:rPr>
        <w:t xml:space="preserve">minus </w:t>
      </w:r>
      <w:r w:rsidR="005F63AD" w:rsidRPr="002318A5">
        <w:rPr>
          <w:rFonts w:ascii="Arial" w:hAnsi="Arial" w:cs="Arial"/>
          <w:b/>
          <w:bCs/>
          <w:sz w:val="22"/>
          <w:szCs w:val="22"/>
        </w:rPr>
        <w:t xml:space="preserve">5 </w:t>
      </w:r>
      <w:r w:rsidRPr="002318A5">
        <w:rPr>
          <w:rFonts w:ascii="Arial" w:hAnsi="Arial" w:cs="Arial"/>
          <w:b/>
          <w:bCs/>
          <w:sz w:val="22"/>
          <w:szCs w:val="22"/>
        </w:rPr>
        <w:t>%</w:t>
      </w:r>
      <w:r w:rsidRPr="002318A5">
        <w:rPr>
          <w:rFonts w:ascii="Arial" w:hAnsi="Arial" w:cs="Arial"/>
          <w:sz w:val="22"/>
          <w:szCs w:val="22"/>
        </w:rPr>
        <w:t xml:space="preserve"> cílové hodnoty indikátoru.</w:t>
      </w:r>
      <w:r w:rsidRPr="005F63AD">
        <w:rPr>
          <w:rFonts w:ascii="Arial" w:hAnsi="Arial" w:cs="Arial"/>
          <w:sz w:val="22"/>
          <w:szCs w:val="22"/>
        </w:rPr>
        <w:t xml:space="preserve"> </w:t>
      </w:r>
      <w:r w:rsidRPr="002318A5">
        <w:rPr>
          <w:rFonts w:ascii="Arial" w:hAnsi="Arial" w:cs="Arial"/>
          <w:sz w:val="22"/>
          <w:szCs w:val="22"/>
        </w:rPr>
        <w:t>Toto pásmo je pevně navázáno na cílovou hodnotu naplňovanou k Rozhodnému datu, ale platí tedy i pro období udržitelnosti po Rozhodném datu</w:t>
      </w:r>
      <w:r w:rsidRPr="005F63AD">
        <w:rPr>
          <w:rFonts w:ascii="Arial" w:hAnsi="Arial" w:cs="Arial"/>
          <w:sz w:val="22"/>
          <w:szCs w:val="22"/>
          <w:vertAlign w:val="superscript"/>
        </w:rPr>
        <w:footnoteReference w:id="2"/>
      </w:r>
      <w:r w:rsidRPr="005F63AD">
        <w:rPr>
          <w:rFonts w:ascii="Arial" w:hAnsi="Arial" w:cs="Arial"/>
          <w:sz w:val="22"/>
          <w:szCs w:val="22"/>
        </w:rPr>
        <w:t>. Překročení stanovené cílové hodnoty není sankcionováno.</w:t>
      </w:r>
    </w:p>
    <w:p w14:paraId="7BDC13C6" w14:textId="1BA3940E" w:rsidR="00F0533A" w:rsidRPr="00F0533A" w:rsidRDefault="00F0533A" w:rsidP="00F0533A">
      <w:pPr>
        <w:spacing w:after="200" w:line="276" w:lineRule="auto"/>
        <w:jc w:val="both"/>
        <w:rPr>
          <w:rFonts w:ascii="Arial" w:hAnsi="Arial" w:cs="Arial"/>
          <w:sz w:val="22"/>
          <w:szCs w:val="22"/>
        </w:rPr>
      </w:pPr>
      <w:r w:rsidRPr="00F0533A">
        <w:rPr>
          <w:rFonts w:ascii="Arial" w:hAnsi="Arial" w:cs="Arial"/>
          <w:sz w:val="22"/>
          <w:szCs w:val="22"/>
        </w:rPr>
        <w:t xml:space="preserve">Pokud se během realizace projektu objeví skutečnosti, které povedou k nenaplnění cílové hodnoty </w:t>
      </w:r>
      <w:r w:rsidRPr="00AE2F14">
        <w:rPr>
          <w:rFonts w:ascii="Arial" w:hAnsi="Arial" w:cs="Arial"/>
          <w:sz w:val="22"/>
          <w:szCs w:val="22"/>
        </w:rPr>
        <w:t>indikátoru</w:t>
      </w:r>
      <w:r w:rsidR="005F63AD" w:rsidRPr="002318A5">
        <w:rPr>
          <w:rFonts w:ascii="Arial" w:hAnsi="Arial" w:cs="Arial"/>
          <w:sz w:val="22"/>
          <w:szCs w:val="22"/>
        </w:rPr>
        <w:t xml:space="preserve"> </w:t>
      </w:r>
      <w:r w:rsidRPr="002318A5">
        <w:rPr>
          <w:rFonts w:ascii="Arial" w:hAnsi="Arial" w:cs="Arial"/>
          <w:sz w:val="22"/>
          <w:szCs w:val="22"/>
        </w:rPr>
        <w:t>ve stanovené toleranci</w:t>
      </w:r>
      <w:r w:rsidRPr="00AE2F14">
        <w:rPr>
          <w:rFonts w:ascii="Arial" w:hAnsi="Arial" w:cs="Arial"/>
          <w:sz w:val="22"/>
          <w:szCs w:val="22"/>
        </w:rPr>
        <w:t>,</w:t>
      </w:r>
      <w:r w:rsidRPr="00F0533A">
        <w:rPr>
          <w:rFonts w:ascii="Arial" w:hAnsi="Arial" w:cs="Arial"/>
          <w:sz w:val="22"/>
          <w:szCs w:val="22"/>
        </w:rPr>
        <w:t xml:space="preserve">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44EF905C" w14:textId="5B4A281E" w:rsidR="00F0533A" w:rsidRDefault="00F0533A" w:rsidP="00F0533A">
      <w:pPr>
        <w:spacing w:after="200" w:line="276" w:lineRule="auto"/>
        <w:jc w:val="both"/>
        <w:rPr>
          <w:rFonts w:ascii="Arial" w:hAnsi="Arial" w:cs="Arial"/>
          <w:sz w:val="22"/>
          <w:szCs w:val="22"/>
        </w:rPr>
      </w:pPr>
      <w:r w:rsidRPr="00F0533A">
        <w:rPr>
          <w:rFonts w:ascii="Arial" w:hAnsi="Arial" w:cs="Arial"/>
          <w:sz w:val="22"/>
          <w:szCs w:val="22"/>
        </w:rPr>
        <w:t xml:space="preserve">Když tak příjemce neučiní, zůstává cílová hodnota platná v nezměněné výši, a pokud bude vykázaná dosažená hodnota k Rozhodnému datu pod stanovenou </w:t>
      </w:r>
      <w:r w:rsidRPr="002318A5">
        <w:rPr>
          <w:rFonts w:ascii="Arial" w:hAnsi="Arial" w:cs="Arial"/>
          <w:sz w:val="22"/>
          <w:szCs w:val="22"/>
        </w:rPr>
        <w:t>tolerancí</w:t>
      </w:r>
      <w:r w:rsidRPr="00F0533A">
        <w:rPr>
          <w:rFonts w:ascii="Arial" w:hAnsi="Arial" w:cs="Arial"/>
          <w:sz w:val="22"/>
          <w:szCs w:val="22"/>
        </w:rPr>
        <w:t xml:space="preserve">, bude postupováno dle </w:t>
      </w:r>
      <w:r w:rsidRPr="00FD41E1">
        <w:rPr>
          <w:rFonts w:ascii="Arial" w:hAnsi="Arial" w:cs="Arial"/>
          <w:sz w:val="22"/>
          <w:szCs w:val="22"/>
        </w:rPr>
        <w:t xml:space="preserve">Podmínek </w:t>
      </w:r>
      <w:r w:rsidRPr="002318A5">
        <w:rPr>
          <w:rFonts w:ascii="Arial" w:hAnsi="Arial" w:cs="Arial"/>
          <w:sz w:val="22"/>
          <w:szCs w:val="22"/>
        </w:rPr>
        <w:t>Rozhodnutí</w:t>
      </w:r>
      <w:r w:rsidRPr="00FD41E1">
        <w:rPr>
          <w:rFonts w:ascii="Arial" w:hAnsi="Arial" w:cs="Arial"/>
          <w:sz w:val="22"/>
          <w:szCs w:val="22"/>
        </w:rPr>
        <w:t>,</w:t>
      </w:r>
      <w:r w:rsidRPr="00F0533A">
        <w:rPr>
          <w:rFonts w:ascii="Arial" w:hAnsi="Arial" w:cs="Arial"/>
          <w:sz w:val="22"/>
          <w:szCs w:val="22"/>
        </w:rPr>
        <w:t xml:space="preserve"> které stanoví konkrétní výši a typ sankce aplikované při nenaplnění cílové hodnoty indikátoru.</w:t>
      </w:r>
    </w:p>
    <w:p w14:paraId="1A5458CB" w14:textId="77777777" w:rsidR="000B728B" w:rsidRPr="00F0533A" w:rsidRDefault="000B728B" w:rsidP="00F0533A">
      <w:pPr>
        <w:spacing w:after="200" w:line="276" w:lineRule="auto"/>
        <w:jc w:val="both"/>
        <w:rPr>
          <w:rFonts w:ascii="Arial" w:hAnsi="Arial" w:cs="Arial"/>
          <w:sz w:val="22"/>
          <w:szCs w:val="22"/>
        </w:rPr>
      </w:pPr>
    </w:p>
    <w:p w14:paraId="3581F5F6" w14:textId="2AFB723B" w:rsidR="00F0533A" w:rsidRPr="00F0533A" w:rsidRDefault="00F0533A" w:rsidP="00F0533A">
      <w:pPr>
        <w:spacing w:after="200" w:line="276" w:lineRule="auto"/>
        <w:jc w:val="both"/>
        <w:rPr>
          <w:rFonts w:ascii="Arial" w:hAnsi="Arial" w:cs="Arial"/>
          <w:sz w:val="22"/>
          <w:szCs w:val="22"/>
        </w:rPr>
      </w:pPr>
      <w:r w:rsidRPr="00F0533A">
        <w:rPr>
          <w:rFonts w:ascii="Arial" w:hAnsi="Arial" w:cs="Arial"/>
          <w:sz w:val="22"/>
          <w:szCs w:val="22"/>
        </w:rPr>
        <w:lastRenderedPageBreak/>
        <w:t xml:space="preserve">V době udržitelnosti již </w:t>
      </w:r>
      <w:r w:rsidRPr="00F0533A">
        <w:rPr>
          <w:rFonts w:ascii="Arial" w:hAnsi="Arial" w:cs="Arial"/>
          <w:b/>
          <w:bCs/>
          <w:sz w:val="22"/>
          <w:szCs w:val="22"/>
          <w:u w:val="single"/>
        </w:rPr>
        <w:t>nelze cílovou hodnotu upravit</w:t>
      </w:r>
      <w:r w:rsidRPr="00F0533A">
        <w:rPr>
          <w:rFonts w:ascii="Arial" w:hAnsi="Arial" w:cs="Arial"/>
          <w:sz w:val="22"/>
          <w:szCs w:val="22"/>
        </w:rPr>
        <w:t xml:space="preserve"> a zůstává zafixovaná ve výši platné k datu skutečného ukončení realizace projektu. Pokud bude v období udržitelnosti (po Rozhodném datu) vykázaná dosažená hodnota </w:t>
      </w:r>
      <w:r w:rsidRPr="00AE2F14">
        <w:rPr>
          <w:rFonts w:ascii="Arial" w:hAnsi="Arial" w:cs="Arial"/>
          <w:sz w:val="22"/>
          <w:szCs w:val="22"/>
        </w:rPr>
        <w:t xml:space="preserve">pod </w:t>
      </w:r>
      <w:r w:rsidRPr="002318A5">
        <w:rPr>
          <w:rFonts w:ascii="Arial" w:hAnsi="Arial" w:cs="Arial"/>
          <w:sz w:val="22"/>
          <w:szCs w:val="22"/>
        </w:rPr>
        <w:t>stanovenou tolerancí</w:t>
      </w:r>
      <w:r w:rsidRPr="00F0533A">
        <w:rPr>
          <w:rFonts w:ascii="Arial" w:hAnsi="Arial" w:cs="Arial"/>
          <w:sz w:val="22"/>
          <w:szCs w:val="22"/>
        </w:rPr>
        <w:t xml:space="preserve">, bude postupováno dle </w:t>
      </w:r>
      <w:r w:rsidRPr="00FD41E1">
        <w:rPr>
          <w:rFonts w:ascii="Arial" w:hAnsi="Arial" w:cs="Arial"/>
          <w:sz w:val="22"/>
          <w:szCs w:val="22"/>
        </w:rPr>
        <w:t xml:space="preserve">Podmínek </w:t>
      </w:r>
      <w:r w:rsidRPr="002318A5">
        <w:rPr>
          <w:rFonts w:ascii="Arial" w:hAnsi="Arial" w:cs="Arial"/>
          <w:sz w:val="22"/>
          <w:szCs w:val="22"/>
        </w:rPr>
        <w:t>Rozhodnutí</w:t>
      </w:r>
      <w:r w:rsidRPr="00FD41E1">
        <w:rPr>
          <w:rFonts w:ascii="Arial" w:hAnsi="Arial" w:cs="Arial"/>
          <w:sz w:val="22"/>
          <w:szCs w:val="22"/>
        </w:rPr>
        <w:t>,</w:t>
      </w:r>
      <w:r w:rsidRPr="00F0533A">
        <w:rPr>
          <w:rFonts w:ascii="Arial" w:hAnsi="Arial" w:cs="Arial"/>
          <w:sz w:val="22"/>
          <w:szCs w:val="22"/>
        </w:rPr>
        <w:t xml:space="preserve"> které stanoví konkrétní výši a typ sankce aplikované při neudržení cílové hodnoty indikátoru, a to poměrově, vztaženo k délce období udržitelnosti, době neplnění a výši neplnění.</w:t>
      </w:r>
    </w:p>
    <w:p w14:paraId="6533D83A" w14:textId="77777777" w:rsidR="00F0533A" w:rsidRDefault="00F0533A">
      <w:pPr>
        <w:spacing w:after="200" w:line="276" w:lineRule="auto"/>
        <w:rPr>
          <w:rStyle w:val="Zdraznnintenzivn"/>
          <w:rFonts w:ascii="Arial" w:eastAsiaTheme="minorHAnsi" w:hAnsi="Arial" w:cs="Arial"/>
          <w:caps/>
          <w:color w:val="31849B" w:themeColor="accent5" w:themeShade="BF"/>
          <w:highlight w:val="yellow"/>
          <w:lang w:eastAsia="en-US"/>
        </w:rPr>
      </w:pPr>
      <w:r>
        <w:rPr>
          <w:rStyle w:val="Zdraznnintenzivn"/>
          <w:rFonts w:ascii="Arial" w:eastAsiaTheme="minorHAnsi" w:hAnsi="Arial" w:cs="Arial"/>
          <w:caps/>
          <w:color w:val="31849B" w:themeColor="accent5" w:themeShade="BF"/>
          <w:highlight w:val="yellow"/>
          <w:lang w:eastAsia="en-US"/>
        </w:rPr>
        <w:br w:type="page"/>
      </w:r>
    </w:p>
    <w:tbl>
      <w:tblPr>
        <w:tblpPr w:leftFromText="141" w:rightFromText="141" w:vertAnchor="text" w:horzAnchor="margin" w:tblpY="12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F0533A" w:rsidRPr="00F0533A" w14:paraId="5C6F1596" w14:textId="77777777" w:rsidTr="00F0533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4215E13F" w14:textId="77777777" w:rsidR="00F0533A" w:rsidRPr="00F0533A" w:rsidRDefault="00F0533A" w:rsidP="00F0533A">
            <w:pPr>
              <w:spacing w:line="276" w:lineRule="auto"/>
              <w:ind w:left="170" w:right="170"/>
              <w:jc w:val="center"/>
              <w:rPr>
                <w:rFonts w:ascii="Arial" w:eastAsiaTheme="minorHAnsi" w:hAnsi="Arial" w:cs="Arial"/>
                <w:b/>
                <w:bCs/>
                <w:color w:val="000000"/>
                <w:lang w:eastAsia="en-US"/>
              </w:rPr>
            </w:pPr>
            <w:r w:rsidRPr="00F0533A">
              <w:rPr>
                <w:rFonts w:ascii="Arial" w:eastAsiaTheme="minorHAnsi" w:hAnsi="Arial" w:cs="Arial"/>
                <w:b/>
                <w:bCs/>
                <w:color w:val="000000"/>
                <w:lang w:eastAsia="en-US"/>
              </w:rPr>
              <w:lastRenderedPageBreak/>
              <w:t>METODICKÝ LIST INDIKÁTORU</w:t>
            </w:r>
          </w:p>
        </w:tc>
      </w:tr>
      <w:tr w:rsidR="00F0533A" w:rsidRPr="00F0533A" w14:paraId="5AD5A7BE" w14:textId="77777777" w:rsidTr="00F0533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C0452" w14:textId="77777777" w:rsidR="00F0533A" w:rsidRPr="00F0533A" w:rsidRDefault="00F0533A" w:rsidP="00F0533A">
            <w:pPr>
              <w:spacing w:before="80" w:after="80" w:line="276" w:lineRule="auto"/>
              <w:ind w:left="57" w:right="57"/>
              <w:jc w:val="center"/>
              <w:rPr>
                <w:rFonts w:ascii="Arial" w:eastAsiaTheme="minorHAnsi" w:hAnsi="Arial" w:cs="Arial"/>
                <w:b/>
                <w:bCs/>
                <w:color w:val="000000"/>
                <w:sz w:val="22"/>
                <w:szCs w:val="22"/>
                <w:lang w:eastAsia="en-US"/>
              </w:rPr>
            </w:pPr>
            <w:r w:rsidRPr="00F0533A">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E75AF" w14:textId="77777777" w:rsidR="00F0533A" w:rsidRPr="00F0533A" w:rsidRDefault="00F0533A" w:rsidP="00F0533A">
            <w:pPr>
              <w:spacing w:before="80" w:after="80" w:line="276" w:lineRule="auto"/>
              <w:ind w:left="57" w:right="57"/>
              <w:jc w:val="center"/>
              <w:rPr>
                <w:rFonts w:eastAsiaTheme="minorHAnsi"/>
                <w:b/>
                <w:bCs/>
              </w:rPr>
            </w:pPr>
            <w:r w:rsidRPr="00F0533A">
              <w:rPr>
                <w:rFonts w:ascii="Arial" w:eastAsiaTheme="minorHAnsi" w:hAnsi="Arial" w:cs="Arial"/>
                <w:b/>
                <w:bCs/>
                <w:color w:val="000000"/>
                <w:lang w:eastAsia="en-US"/>
              </w:rPr>
              <w:t>761 201 - Počet uživatelů specializované cyklistické infrastruktury za rok</w:t>
            </w:r>
          </w:p>
        </w:tc>
      </w:tr>
      <w:tr w:rsidR="00F0533A" w:rsidRPr="00F0533A" w14:paraId="1B0E7CA5" w14:textId="77777777" w:rsidTr="00F0533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519116E3" w14:textId="77777777" w:rsidR="00F0533A" w:rsidRPr="00F0533A" w:rsidRDefault="00F0533A" w:rsidP="00F0533A">
            <w:pPr>
              <w:spacing w:line="276" w:lineRule="auto"/>
              <w:ind w:left="57" w:right="57"/>
              <w:jc w:val="center"/>
              <w:outlineLvl w:val="0"/>
              <w:rPr>
                <w:rFonts w:ascii="Arial" w:eastAsiaTheme="minorHAnsi" w:hAnsi="Arial" w:cs="Arial"/>
                <w:b/>
                <w:bCs/>
                <w:caps/>
                <w:color w:val="000000"/>
                <w:lang w:eastAsia="en-US"/>
              </w:rPr>
            </w:pPr>
            <w:r w:rsidRPr="00F0533A">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627EDC3" w14:textId="77777777" w:rsidR="00F0533A" w:rsidRPr="00F0533A" w:rsidRDefault="00F0533A" w:rsidP="00F0533A">
            <w:pPr>
              <w:spacing w:line="276" w:lineRule="auto"/>
              <w:ind w:left="57" w:right="57"/>
              <w:jc w:val="center"/>
              <w:outlineLvl w:val="0"/>
              <w:rPr>
                <w:rFonts w:ascii="Arial" w:eastAsiaTheme="minorHAnsi" w:hAnsi="Arial" w:cs="Arial"/>
                <w:b/>
                <w:bCs/>
                <w:color w:val="000000"/>
                <w:sz w:val="22"/>
                <w:szCs w:val="22"/>
                <w:lang w:eastAsia="en-US"/>
              </w:rPr>
            </w:pPr>
            <w:r w:rsidRPr="00F0533A">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4D92FE1" w14:textId="77777777" w:rsidR="00F0533A" w:rsidRPr="00F0533A" w:rsidRDefault="00F0533A" w:rsidP="00F0533A">
            <w:pPr>
              <w:spacing w:line="276" w:lineRule="auto"/>
              <w:ind w:left="57" w:right="57"/>
              <w:jc w:val="center"/>
              <w:outlineLvl w:val="0"/>
              <w:rPr>
                <w:rFonts w:ascii="Arial" w:eastAsiaTheme="minorHAnsi" w:hAnsi="Arial" w:cs="Arial"/>
                <w:b/>
                <w:bCs/>
                <w:color w:val="000000"/>
                <w:sz w:val="22"/>
                <w:szCs w:val="22"/>
                <w:lang w:eastAsia="en-US"/>
              </w:rPr>
            </w:pPr>
            <w:r w:rsidRPr="00F0533A">
              <w:rPr>
                <w:rFonts w:ascii="Arial" w:eastAsiaTheme="minorHAnsi" w:hAnsi="Arial" w:cs="Arial"/>
                <w:b/>
                <w:bCs/>
                <w:color w:val="000000"/>
                <w:sz w:val="22"/>
                <w:szCs w:val="22"/>
                <w:lang w:eastAsia="en-US"/>
              </w:rPr>
              <w:t>Typ indikátoru</w:t>
            </w:r>
          </w:p>
        </w:tc>
      </w:tr>
      <w:tr w:rsidR="00F0533A" w:rsidRPr="00F0533A" w14:paraId="0B1FCFEE" w14:textId="77777777" w:rsidTr="00F0533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5D0785F" w14:textId="7E38BFFB" w:rsidR="00F0533A" w:rsidRPr="00F0533A" w:rsidRDefault="00F0533A" w:rsidP="00F0533A">
            <w:pPr>
              <w:spacing w:line="276" w:lineRule="auto"/>
              <w:ind w:left="57" w:right="57"/>
              <w:jc w:val="center"/>
              <w:outlineLvl w:val="0"/>
              <w:rPr>
                <w:rFonts w:ascii="Arial" w:eastAsiaTheme="minorHAnsi" w:hAnsi="Arial" w:cs="Arial"/>
                <w:b/>
                <w:bCs/>
                <w:color w:val="000000"/>
                <w:sz w:val="22"/>
                <w:szCs w:val="22"/>
                <w:lang w:eastAsia="en-US"/>
              </w:rPr>
            </w:pPr>
            <w:r w:rsidRPr="00F0533A">
              <w:rPr>
                <w:rFonts w:ascii="Arial" w:eastAsiaTheme="minorHAnsi" w:hAnsi="Arial" w:cs="Arial"/>
                <w:b/>
                <w:bCs/>
                <w:color w:val="000000"/>
                <w:sz w:val="22"/>
                <w:szCs w:val="22"/>
                <w:lang w:eastAsia="en-US"/>
              </w:rPr>
              <w:t xml:space="preserve">IROP </w:t>
            </w:r>
            <w:r w:rsidR="00236420" w:rsidRPr="00B6719E">
              <w:rPr>
                <w:rFonts w:ascii="Arial" w:eastAsiaTheme="minorHAnsi" w:hAnsi="Arial" w:cs="Arial"/>
                <w:b/>
                <w:bCs/>
                <w:color w:val="000000"/>
                <w:sz w:val="22"/>
                <w:szCs w:val="22"/>
                <w:lang w:eastAsia="en-US"/>
              </w:rPr>
              <w:t>5</w:t>
            </w:r>
            <w:r w:rsidRPr="00B6719E">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9A6915A" w14:textId="77777777" w:rsidR="00F0533A" w:rsidRPr="00F0533A" w:rsidRDefault="00F0533A" w:rsidP="00F0533A">
            <w:pPr>
              <w:spacing w:line="276" w:lineRule="auto"/>
              <w:ind w:left="57" w:right="57"/>
              <w:jc w:val="center"/>
              <w:outlineLvl w:val="0"/>
              <w:rPr>
                <w:rFonts w:ascii="Arial" w:eastAsiaTheme="minorHAnsi" w:hAnsi="Arial" w:cs="Arial"/>
                <w:b/>
                <w:bCs/>
                <w:color w:val="000000"/>
                <w:sz w:val="22"/>
                <w:szCs w:val="22"/>
                <w:lang w:eastAsia="en-US"/>
              </w:rPr>
            </w:pPr>
            <w:r w:rsidRPr="00F0533A">
              <w:rPr>
                <w:rFonts w:ascii="Arial" w:eastAsiaTheme="minorHAnsi" w:hAnsi="Arial" w:cs="Arial"/>
                <w:b/>
                <w:bCs/>
                <w:color w:val="000000"/>
                <w:lang w:eastAsia="en-US"/>
              </w:rPr>
              <w:t>uživatelé/rok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0623166C" w14:textId="77777777" w:rsidR="00F0533A" w:rsidRPr="00F0533A" w:rsidRDefault="00F0533A" w:rsidP="00F0533A">
            <w:pPr>
              <w:spacing w:line="276" w:lineRule="auto"/>
              <w:ind w:left="57" w:right="57"/>
              <w:jc w:val="center"/>
              <w:outlineLvl w:val="0"/>
              <w:rPr>
                <w:rFonts w:ascii="Arial" w:eastAsiaTheme="minorHAnsi" w:hAnsi="Arial" w:cs="Arial"/>
                <w:b/>
                <w:bCs/>
                <w:color w:val="000000"/>
                <w:sz w:val="22"/>
                <w:szCs w:val="22"/>
                <w:lang w:eastAsia="en-US"/>
              </w:rPr>
            </w:pPr>
            <w:r w:rsidRPr="00F0533A">
              <w:rPr>
                <w:rFonts w:ascii="Arial" w:eastAsiaTheme="minorHAnsi" w:hAnsi="Arial" w:cs="Arial"/>
                <w:b/>
                <w:bCs/>
                <w:color w:val="000000"/>
                <w:sz w:val="22"/>
                <w:szCs w:val="22"/>
                <w:lang w:eastAsia="en-US"/>
              </w:rPr>
              <w:t>výsledek</w:t>
            </w:r>
          </w:p>
        </w:tc>
      </w:tr>
    </w:tbl>
    <w:p w14:paraId="1D953E77" w14:textId="77777777" w:rsidR="00F0533A" w:rsidRPr="00F0533A" w:rsidRDefault="00F0533A" w:rsidP="00F0533A">
      <w:pPr>
        <w:spacing w:before="240" w:line="276" w:lineRule="auto"/>
        <w:jc w:val="both"/>
        <w:rPr>
          <w:rFonts w:ascii="Arial" w:eastAsiaTheme="minorHAnsi" w:hAnsi="Arial" w:cs="Arial"/>
          <w:b/>
          <w:bCs/>
          <w:i/>
          <w:iCs/>
          <w:caps/>
          <w:color w:val="31849B" w:themeColor="accent5" w:themeShade="BF"/>
          <w:lang w:eastAsia="en-US"/>
        </w:rPr>
      </w:pPr>
      <w:r w:rsidRPr="00F0533A">
        <w:rPr>
          <w:rFonts w:ascii="Arial" w:eastAsiaTheme="minorHAnsi" w:hAnsi="Arial" w:cs="Arial"/>
          <w:b/>
          <w:bCs/>
          <w:i/>
          <w:iCs/>
          <w:caps/>
          <w:color w:val="31849B" w:themeColor="accent5" w:themeShade="BF"/>
          <w:lang w:eastAsia="en-US"/>
        </w:rPr>
        <w:t xml:space="preserve">Definice indikátoru </w:t>
      </w:r>
    </w:p>
    <w:p w14:paraId="018A177A" w14:textId="77777777" w:rsidR="00F0533A" w:rsidRPr="00F0533A" w:rsidRDefault="00F0533A" w:rsidP="00F0533A">
      <w:pPr>
        <w:spacing w:line="276" w:lineRule="auto"/>
        <w:jc w:val="both"/>
        <w:rPr>
          <w:rFonts w:ascii="Arial" w:hAnsi="Arial" w:cs="Arial"/>
          <w:color w:val="4F81BD" w:themeColor="accent1"/>
          <w:sz w:val="22"/>
          <w:szCs w:val="22"/>
        </w:rPr>
      </w:pPr>
      <w:r w:rsidRPr="00F0533A">
        <w:rPr>
          <w:rFonts w:ascii="Arial" w:hAnsi="Arial" w:cs="Arial"/>
          <w:sz w:val="22"/>
          <w:szCs w:val="22"/>
        </w:rPr>
        <w:t>Roční uživatelé vyhrazené cyklistické infrastruktury financované z podporovaných projektů.</w:t>
      </w:r>
      <w:r w:rsidRPr="00F0533A">
        <w:rPr>
          <w:rFonts w:ascii="Arial" w:hAnsi="Arial" w:cs="Arial"/>
          <w:sz w:val="22"/>
          <w:szCs w:val="22"/>
        </w:rPr>
        <w:br/>
        <w:t>Definici vyhrazené cyklistické infrastruktury viz ukazatel RCO58.</w:t>
      </w:r>
      <w:r w:rsidRPr="00F0533A">
        <w:rPr>
          <w:rFonts w:ascii="Arial" w:hAnsi="Arial" w:cs="Arial"/>
          <w:sz w:val="22"/>
          <w:szCs w:val="22"/>
        </w:rPr>
        <w:br/>
        <w:t>Výchozí hodnota ukazatele se odhaduje jako roční počet uživatelů infrastruktury za rok před zahájením intervence, a pro novou infrastrukturu je nulová. Dosažené hodnoty jsou odhadovány ex-post z hlediska počtu uživatelů využívajících infrastrukturu pro rok po fyzickém dokončení intervence.</w:t>
      </w:r>
    </w:p>
    <w:p w14:paraId="29B3584C" w14:textId="77777777" w:rsidR="00F0533A" w:rsidRPr="00F0533A" w:rsidRDefault="00F0533A" w:rsidP="00F0533A">
      <w:pPr>
        <w:spacing w:before="240" w:line="276" w:lineRule="auto"/>
        <w:jc w:val="both"/>
        <w:rPr>
          <w:rFonts w:ascii="Arial" w:eastAsiaTheme="minorHAnsi" w:hAnsi="Arial" w:cs="Arial"/>
          <w:b/>
          <w:bCs/>
          <w:i/>
          <w:iCs/>
          <w:caps/>
          <w:color w:val="31849B" w:themeColor="accent5" w:themeShade="BF"/>
          <w:lang w:eastAsia="en-US"/>
        </w:rPr>
      </w:pPr>
      <w:r w:rsidRPr="00F0533A">
        <w:rPr>
          <w:rFonts w:ascii="Arial" w:eastAsiaTheme="minorHAnsi" w:hAnsi="Arial" w:cs="Arial"/>
          <w:b/>
          <w:bCs/>
          <w:i/>
          <w:iCs/>
          <w:caps/>
          <w:color w:val="31849B" w:themeColor="accent5" w:themeShade="BF"/>
          <w:lang w:eastAsia="en-US"/>
        </w:rPr>
        <w:t>Upřesňující informace</w:t>
      </w:r>
    </w:p>
    <w:p w14:paraId="604F1F32" w14:textId="0ABD55B7" w:rsidR="00F0533A" w:rsidRPr="00F0533A" w:rsidRDefault="00F0533A" w:rsidP="00F0533A">
      <w:pPr>
        <w:spacing w:after="240"/>
        <w:jc w:val="both"/>
        <w:rPr>
          <w:rFonts w:ascii="Arial" w:hAnsi="Arial" w:cs="Arial"/>
          <w:sz w:val="22"/>
          <w:szCs w:val="22"/>
        </w:rPr>
      </w:pPr>
      <w:r w:rsidRPr="00FD41E1">
        <w:rPr>
          <w:rFonts w:ascii="Arial" w:hAnsi="Arial" w:cs="Arial"/>
          <w:sz w:val="22"/>
          <w:szCs w:val="22"/>
        </w:rPr>
        <w:t xml:space="preserve">Indikátor je </w:t>
      </w:r>
      <w:r w:rsidRPr="002318A5">
        <w:rPr>
          <w:rFonts w:ascii="Arial" w:hAnsi="Arial" w:cs="Arial"/>
          <w:sz w:val="22"/>
          <w:szCs w:val="22"/>
        </w:rPr>
        <w:t xml:space="preserve">povinný k výběru </w:t>
      </w:r>
      <w:r w:rsidRPr="00FD41E1">
        <w:rPr>
          <w:rFonts w:ascii="Arial" w:hAnsi="Arial" w:cs="Arial"/>
          <w:sz w:val="22"/>
          <w:szCs w:val="22"/>
        </w:rPr>
        <w:t xml:space="preserve">pro </w:t>
      </w:r>
      <w:r w:rsidRPr="002318A5">
        <w:rPr>
          <w:rFonts w:ascii="Arial" w:hAnsi="Arial" w:cs="Arial"/>
          <w:sz w:val="22"/>
          <w:szCs w:val="22"/>
        </w:rPr>
        <w:t>všechny projekty</w:t>
      </w:r>
      <w:r w:rsidR="002D3B77" w:rsidRPr="00FD41E1">
        <w:rPr>
          <w:rFonts w:ascii="Arial" w:hAnsi="Arial" w:cs="Arial"/>
          <w:sz w:val="22"/>
          <w:szCs w:val="22"/>
        </w:rPr>
        <w:t>.</w:t>
      </w:r>
    </w:p>
    <w:p w14:paraId="0ABA2822" w14:textId="77777777" w:rsidR="006B6DE2" w:rsidRDefault="006B6DE2" w:rsidP="006B6DE2">
      <w:pPr>
        <w:ind w:left="170" w:right="227"/>
        <w:jc w:val="both"/>
        <w:rPr>
          <w:rFonts w:ascii="Arial" w:hAnsi="Arial" w:cs="Arial"/>
          <w:b/>
          <w:bCs/>
          <w:sz w:val="22"/>
          <w:szCs w:val="22"/>
          <w:highlight w:val="yellow"/>
        </w:rPr>
      </w:pPr>
      <w:r w:rsidRPr="00903894">
        <w:rPr>
          <w:rFonts w:ascii="Arial" w:hAnsi="Arial" w:cs="Arial"/>
          <w:noProof/>
          <w:sz w:val="22"/>
          <w:szCs w:val="22"/>
        </w:rPr>
        <mc:AlternateContent>
          <mc:Choice Requires="wps">
            <w:drawing>
              <wp:anchor distT="0" distB="0" distL="114300" distR="114300" simplePos="0" relativeHeight="251667456" behindDoc="1" locked="0" layoutInCell="1" allowOverlap="1" wp14:anchorId="2E915491" wp14:editId="5BB4F2F1">
                <wp:simplePos x="0" y="0"/>
                <wp:positionH relativeFrom="margin">
                  <wp:posOffset>-14605</wp:posOffset>
                </wp:positionH>
                <wp:positionV relativeFrom="paragraph">
                  <wp:posOffset>125095</wp:posOffset>
                </wp:positionV>
                <wp:extent cx="5791200" cy="685800"/>
                <wp:effectExtent l="0" t="0" r="0" b="0"/>
                <wp:wrapNone/>
                <wp:docPr id="5" name="Obdélník 5"/>
                <wp:cNvGraphicFramePr/>
                <a:graphic xmlns:a="http://schemas.openxmlformats.org/drawingml/2006/main">
                  <a:graphicData uri="http://schemas.microsoft.com/office/word/2010/wordprocessingShape">
                    <wps:wsp>
                      <wps:cNvSpPr/>
                      <wps:spPr>
                        <a:xfrm>
                          <a:off x="0" y="0"/>
                          <a:ext cx="5791200" cy="685800"/>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80CD1" id="Obdélník 5" o:spid="_x0000_s1026" style="position:absolute;margin-left:-1.15pt;margin-top:9.85pt;width:456pt;height:5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" fillcolor="#9cc2e5" stroked="f" strokeweight="2pt">
                <w10:wrap anchorx="margin"/>
              </v:rect>
            </w:pict>
          </mc:Fallback>
        </mc:AlternateContent>
      </w:r>
    </w:p>
    <w:p w14:paraId="22A2443F" w14:textId="77777777" w:rsidR="006B6DE2" w:rsidRPr="002318A5" w:rsidRDefault="006B6DE2" w:rsidP="006B6DE2">
      <w:pPr>
        <w:ind w:left="170" w:right="227"/>
        <w:jc w:val="both"/>
        <w:rPr>
          <w:rFonts w:ascii="Arial" w:hAnsi="Arial" w:cs="Arial"/>
          <w:sz w:val="22"/>
          <w:szCs w:val="22"/>
        </w:rPr>
      </w:pPr>
      <w:r w:rsidRPr="002318A5">
        <w:rPr>
          <w:rFonts w:ascii="Arial" w:hAnsi="Arial" w:cs="Arial"/>
          <w:b/>
          <w:bCs/>
          <w:sz w:val="22"/>
          <w:szCs w:val="22"/>
        </w:rPr>
        <w:t>UPOZORNĚNÍ:</w:t>
      </w:r>
    </w:p>
    <w:p w14:paraId="5B701D7B" w14:textId="77777777" w:rsidR="006B6DE2" w:rsidRPr="009A4CBD" w:rsidRDefault="006B6DE2" w:rsidP="006B6DE2">
      <w:pPr>
        <w:spacing w:before="240" w:after="240"/>
        <w:jc w:val="both"/>
        <w:rPr>
          <w:rFonts w:ascii="Arial" w:hAnsi="Arial" w:cs="Arial"/>
          <w:sz w:val="22"/>
          <w:szCs w:val="22"/>
        </w:rPr>
      </w:pPr>
      <w:r w:rsidRPr="00B04FB7">
        <w:rPr>
          <w:rFonts w:ascii="Arial" w:hAnsi="Arial" w:cs="Arial"/>
          <w:sz w:val="22"/>
          <w:szCs w:val="22"/>
        </w:rPr>
        <w:t xml:space="preserve">Hodnota je vykazována </w:t>
      </w:r>
      <w:r w:rsidRPr="009F5A5E">
        <w:rPr>
          <w:rFonts w:ascii="Arial" w:hAnsi="Arial" w:cs="Arial"/>
          <w:sz w:val="22"/>
          <w:szCs w:val="22"/>
        </w:rPr>
        <w:t xml:space="preserve">s přesností na celé jednotky </w:t>
      </w:r>
      <w:r>
        <w:rPr>
          <w:rFonts w:ascii="Arial" w:hAnsi="Arial" w:cs="Arial"/>
          <w:sz w:val="22"/>
          <w:szCs w:val="22"/>
        </w:rPr>
        <w:t>a je stanovena dle pokynů dále v tomto ML</w:t>
      </w:r>
      <w:r w:rsidRPr="009F5A5E">
        <w:rPr>
          <w:rFonts w:ascii="Arial" w:hAnsi="Arial" w:cs="Arial"/>
          <w:sz w:val="22"/>
          <w:szCs w:val="22"/>
        </w:rPr>
        <w:t>.</w:t>
      </w:r>
    </w:p>
    <w:p w14:paraId="794A4C6C" w14:textId="2EC25D01" w:rsidR="00F0533A" w:rsidRPr="00F0533A" w:rsidRDefault="00F0533A" w:rsidP="00F0533A">
      <w:pPr>
        <w:keepNext/>
        <w:spacing w:before="240" w:line="276" w:lineRule="auto"/>
        <w:jc w:val="both"/>
        <w:rPr>
          <w:rFonts w:ascii="Arial" w:eastAsiaTheme="minorHAnsi" w:hAnsi="Arial" w:cs="Arial"/>
          <w:b/>
          <w:bCs/>
          <w:i/>
          <w:iCs/>
          <w:caps/>
          <w:color w:val="31849B" w:themeColor="accent5" w:themeShade="BF"/>
          <w:lang w:eastAsia="en-US"/>
        </w:rPr>
      </w:pPr>
      <w:r w:rsidRPr="00F0533A">
        <w:rPr>
          <w:rFonts w:ascii="Arial" w:eastAsiaTheme="minorHAnsi" w:hAnsi="Arial" w:cs="Arial"/>
          <w:b/>
          <w:bCs/>
          <w:i/>
          <w:iCs/>
          <w:caps/>
          <w:color w:val="31849B" w:themeColor="accent5" w:themeShade="BF"/>
          <w:lang w:eastAsia="en-US"/>
        </w:rPr>
        <w:t>postup vykazování</w:t>
      </w:r>
    </w:p>
    <w:p w14:paraId="2D989F32" w14:textId="77777777" w:rsidR="00AB3D50" w:rsidRPr="00AB3D50" w:rsidRDefault="00F0533A" w:rsidP="00AB3D50">
      <w:pPr>
        <w:spacing w:after="240" w:line="276" w:lineRule="auto"/>
        <w:jc w:val="both"/>
        <w:rPr>
          <w:rFonts w:ascii="Arial" w:hAnsi="Arial" w:cs="Arial"/>
          <w:sz w:val="22"/>
          <w:szCs w:val="22"/>
        </w:rPr>
      </w:pPr>
      <w:r w:rsidRPr="00F0533A">
        <w:rPr>
          <w:rFonts w:ascii="Arial" w:hAnsi="Arial" w:cs="Arial"/>
          <w:b/>
          <w:bCs/>
          <w:sz w:val="22"/>
          <w:szCs w:val="22"/>
        </w:rPr>
        <w:t xml:space="preserve">Výchozí hodnota: </w:t>
      </w:r>
      <w:r w:rsidR="00AB3D50" w:rsidRPr="00AB3D50">
        <w:rPr>
          <w:rFonts w:ascii="Arial" w:hAnsi="Arial" w:cs="Arial"/>
          <w:sz w:val="22"/>
          <w:szCs w:val="22"/>
        </w:rPr>
        <w:t>Počet cyklistů užívajících stávající cyklistickou infrastrukturu, kterou se žadatel zavazuje zmodernizovat nebo zrekonstruovat, za období jednoho roku před předpokládaným zahájením realizace projektu v případě, že projektem dochází k modernizaci nebo rekonstrukci vyhrazené komunikace pro cyklisty. Pokud projektem dochází k výstavbě vyhrazené komunikace pro cyklisty nebo realizaci doprovodné cyklistické infrastruktury, je výchozí hodnota nulová</w:t>
      </w:r>
    </w:p>
    <w:p w14:paraId="3262C7D7" w14:textId="5729BB52" w:rsidR="00F0533A" w:rsidRPr="00F0533A" w:rsidRDefault="00AB3D50" w:rsidP="00AB3D50">
      <w:pPr>
        <w:spacing w:after="240" w:line="276" w:lineRule="auto"/>
        <w:jc w:val="both"/>
        <w:rPr>
          <w:rFonts w:ascii="Arial" w:hAnsi="Arial" w:cs="Arial"/>
          <w:b/>
          <w:bCs/>
          <w:color w:val="4F81BD" w:themeColor="accent1"/>
          <w:sz w:val="22"/>
          <w:szCs w:val="22"/>
        </w:rPr>
      </w:pPr>
      <w:r w:rsidRPr="00AB3D50">
        <w:rPr>
          <w:rFonts w:ascii="Arial" w:hAnsi="Arial" w:cs="Arial"/>
          <w:sz w:val="22"/>
          <w:szCs w:val="22"/>
        </w:rPr>
        <w:t>Pokud nejsou údaje o počtu cyklistů za období jednoho roku před předpokládaným zahájením realizace projektu k dispozici, vykáže žadatel jiné nejbližší období jednoho roku (12 po sobě jdoucích měsíců). Výchozí hodnota indikátoru je statická a během realizace a udržitelnosti ji není možné upravovat</w:t>
      </w:r>
      <w:r>
        <w:rPr>
          <w:rFonts w:ascii="Arial" w:hAnsi="Arial" w:cs="Arial"/>
          <w:sz w:val="22"/>
          <w:szCs w:val="22"/>
        </w:rPr>
        <w:t>.</w:t>
      </w:r>
    </w:p>
    <w:p w14:paraId="12995FA5" w14:textId="622A0781" w:rsidR="00F0533A" w:rsidRPr="00F0533A" w:rsidRDefault="00F0533A" w:rsidP="00F0533A">
      <w:pPr>
        <w:spacing w:after="200" w:line="276" w:lineRule="auto"/>
        <w:jc w:val="both"/>
        <w:rPr>
          <w:rFonts w:ascii="Arial" w:hAnsi="Arial" w:cs="Arial"/>
          <w:sz w:val="22"/>
          <w:szCs w:val="22"/>
        </w:rPr>
      </w:pPr>
      <w:r w:rsidRPr="00F0533A">
        <w:rPr>
          <w:rFonts w:ascii="Arial" w:hAnsi="Arial" w:cs="Arial"/>
          <w:b/>
          <w:bCs/>
          <w:sz w:val="22"/>
          <w:szCs w:val="22"/>
        </w:rPr>
        <w:t>Cílová hodnota:</w:t>
      </w:r>
      <w:r w:rsidRPr="00F0533A">
        <w:rPr>
          <w:rFonts w:ascii="Arial" w:hAnsi="Arial" w:cs="Arial"/>
          <w:sz w:val="22"/>
          <w:szCs w:val="22"/>
        </w:rPr>
        <w:t xml:space="preserve"> </w:t>
      </w:r>
      <w:r w:rsidR="00303AF8" w:rsidRPr="00303AF8">
        <w:rPr>
          <w:rFonts w:ascii="Arial" w:hAnsi="Arial" w:cs="Arial"/>
          <w:sz w:val="22"/>
          <w:szCs w:val="22"/>
        </w:rPr>
        <w:t>Plánovaný počet cyklistů užívajících cyklistickou infrastrukturu, kterou se žadatel zavazuje vybudovat, zmodernizovat, zrekonstruovat nebo zrealizovat, za období 1. roku udržitelnosti projektu</w:t>
      </w:r>
      <w:r w:rsidR="00492658" w:rsidRPr="002318A5">
        <w:rPr>
          <w:rFonts w:ascii="Arial" w:hAnsi="Arial" w:cs="Arial"/>
          <w:sz w:val="22"/>
          <w:szCs w:val="22"/>
        </w:rPr>
        <w:t xml:space="preserve">. </w:t>
      </w:r>
      <w:r w:rsidRPr="00492658">
        <w:rPr>
          <w:rFonts w:ascii="Arial" w:hAnsi="Arial" w:cs="Arial"/>
          <w:b/>
          <w:bCs/>
          <w:sz w:val="22"/>
          <w:szCs w:val="22"/>
        </w:rPr>
        <w:t>Žadatel v</w:t>
      </w:r>
      <w:r w:rsidR="00236420">
        <w:rPr>
          <w:rFonts w:ascii="Arial" w:hAnsi="Arial" w:cs="Arial"/>
          <w:b/>
          <w:bCs/>
          <w:sz w:val="22"/>
          <w:szCs w:val="22"/>
        </w:rPr>
        <w:t> </w:t>
      </w:r>
      <w:r w:rsidR="00236420" w:rsidRPr="00B6719E">
        <w:rPr>
          <w:rFonts w:ascii="Arial" w:hAnsi="Arial" w:cs="Arial"/>
          <w:b/>
          <w:bCs/>
          <w:sz w:val="22"/>
          <w:szCs w:val="22"/>
        </w:rPr>
        <w:t>Podkladech pro hodnocení</w:t>
      </w:r>
      <w:r w:rsidRPr="00492658">
        <w:rPr>
          <w:rFonts w:ascii="Arial" w:hAnsi="Arial" w:cs="Arial"/>
          <w:b/>
          <w:bCs/>
          <w:sz w:val="22"/>
          <w:szCs w:val="22"/>
        </w:rPr>
        <w:t xml:space="preserve"> uvede způsob výpočtu tak, aby jeho výsledek odpovídal cílové hodnotě a bylo možné ho ověřit. </w:t>
      </w:r>
      <w:r w:rsidR="00303AF8" w:rsidRPr="002318A5">
        <w:rPr>
          <w:rFonts w:ascii="Arial" w:hAnsi="Arial" w:cs="Arial"/>
          <w:sz w:val="22"/>
          <w:szCs w:val="22"/>
        </w:rPr>
        <w:t>Tuto hodnotu se příjemce zavazuje vykázat k datu konce 1. roku udržitelnosti projektu</w:t>
      </w:r>
      <w:r w:rsidRPr="00492658">
        <w:rPr>
          <w:rFonts w:ascii="Arial" w:hAnsi="Arial" w:cs="Arial"/>
          <w:sz w:val="22"/>
          <w:szCs w:val="22"/>
        </w:rPr>
        <w:t>.</w:t>
      </w:r>
      <w:r w:rsidRPr="00F0533A">
        <w:rPr>
          <w:rFonts w:ascii="Arial" w:hAnsi="Arial" w:cs="Arial"/>
          <w:sz w:val="22"/>
          <w:szCs w:val="22"/>
        </w:rPr>
        <w:t xml:space="preserve"> </w:t>
      </w:r>
    </w:p>
    <w:p w14:paraId="20F6FCEF" w14:textId="02E958FE" w:rsidR="00F0533A" w:rsidRPr="00492658" w:rsidRDefault="00F0533A" w:rsidP="00F0533A">
      <w:pPr>
        <w:spacing w:after="200" w:line="276" w:lineRule="auto"/>
        <w:jc w:val="both"/>
        <w:rPr>
          <w:rFonts w:ascii="Arial" w:hAnsi="Arial" w:cs="Arial"/>
          <w:color w:val="FF0000"/>
          <w:sz w:val="22"/>
          <w:szCs w:val="22"/>
        </w:rPr>
      </w:pPr>
      <w:r w:rsidRPr="00492658">
        <w:rPr>
          <w:rFonts w:ascii="Arial" w:hAnsi="Arial" w:cs="Arial"/>
          <w:b/>
          <w:bCs/>
          <w:sz w:val="22"/>
          <w:szCs w:val="22"/>
        </w:rPr>
        <w:t>Datum cílové hodnoty:</w:t>
      </w:r>
      <w:r w:rsidRPr="00492658">
        <w:rPr>
          <w:rFonts w:ascii="Arial" w:hAnsi="Arial" w:cs="Arial"/>
          <w:sz w:val="22"/>
          <w:szCs w:val="22"/>
        </w:rPr>
        <w:t xml:space="preserve"> Žadatel v žádosti o podporu stanovuje jako datum konce 1. roku udržitelnosti projektu. Datum se považuje za Rozhodné datum pro naplnění indikátoru a jsou k němu vztahovány další postupy v době udržitelnosti. Protože žadateli není v okamžiku podání žádosti známo, kdy nastane přesné datum konce 1. roku udržitelnosti, bude datum na </w:t>
      </w:r>
      <w:r w:rsidRPr="00492658">
        <w:rPr>
          <w:rFonts w:ascii="Arial" w:hAnsi="Arial" w:cs="Arial"/>
          <w:sz w:val="22"/>
          <w:szCs w:val="22"/>
        </w:rPr>
        <w:lastRenderedPageBreak/>
        <w:t xml:space="preserve">projektu </w:t>
      </w:r>
      <w:r w:rsidRPr="00492658">
        <w:rPr>
          <w:rFonts w:ascii="Arial" w:hAnsi="Arial" w:cs="Arial"/>
          <w:b/>
          <w:bCs/>
          <w:sz w:val="22"/>
          <w:szCs w:val="22"/>
        </w:rPr>
        <w:t>orientačně</w:t>
      </w:r>
      <w:r w:rsidRPr="00492658">
        <w:rPr>
          <w:rFonts w:ascii="Arial" w:hAnsi="Arial" w:cs="Arial"/>
          <w:sz w:val="22"/>
          <w:szCs w:val="22"/>
        </w:rPr>
        <w:t xml:space="preserve"> stanoveno jako plánované ukončení realizace projektu + 1 rok a 6 měsíců, což </w:t>
      </w:r>
      <w:r w:rsidR="006A11BF">
        <w:rPr>
          <w:rFonts w:ascii="Arial" w:hAnsi="Arial" w:cs="Arial"/>
          <w:sz w:val="22"/>
          <w:szCs w:val="22"/>
        </w:rPr>
        <w:t>nijak</w:t>
      </w:r>
      <w:r w:rsidR="006A11BF" w:rsidRPr="00492658">
        <w:rPr>
          <w:rFonts w:ascii="Arial" w:hAnsi="Arial" w:cs="Arial"/>
          <w:sz w:val="22"/>
          <w:szCs w:val="22"/>
        </w:rPr>
        <w:t xml:space="preserve"> </w:t>
      </w:r>
      <w:r w:rsidRPr="00492658">
        <w:rPr>
          <w:rFonts w:ascii="Arial" w:hAnsi="Arial" w:cs="Arial"/>
          <w:sz w:val="22"/>
          <w:szCs w:val="22"/>
        </w:rPr>
        <w:t>neovlivňuje povinnost příjemce hodnotu vykázat za 12 měsíců prvního roku udržitelnosti.</w:t>
      </w:r>
    </w:p>
    <w:p w14:paraId="3E5214F2" w14:textId="77777777" w:rsidR="00F0533A" w:rsidRPr="002C06F0" w:rsidRDefault="00F0533A" w:rsidP="00F0533A">
      <w:pPr>
        <w:spacing w:after="200" w:line="276" w:lineRule="auto"/>
        <w:jc w:val="both"/>
        <w:rPr>
          <w:rFonts w:ascii="Arial" w:hAnsi="Arial" w:cs="Arial"/>
          <w:sz w:val="22"/>
          <w:szCs w:val="22"/>
        </w:rPr>
      </w:pPr>
      <w:r w:rsidRPr="00F0533A">
        <w:rPr>
          <w:rFonts w:ascii="Arial" w:hAnsi="Arial" w:cs="Arial"/>
          <w:sz w:val="22"/>
          <w:szCs w:val="22"/>
        </w:rPr>
        <w:t xml:space="preserve">Datum je nutné při případném prodloužení realizace projektu udržovat aktuální, tj. v souladu s výše uvedeným. </w:t>
      </w:r>
      <w:r w:rsidRPr="002318A5">
        <w:rPr>
          <w:rFonts w:ascii="Arial" w:hAnsi="Arial" w:cs="Arial"/>
          <w:sz w:val="22"/>
          <w:szCs w:val="22"/>
        </w:rPr>
        <w:t>Po ukončení realizace projektu již příjemce orientační datum cílové hodnoty neupravuje.</w:t>
      </w:r>
    </w:p>
    <w:p w14:paraId="6DFA63A0" w14:textId="5EE99582" w:rsidR="00F0533A" w:rsidRPr="00F0533A" w:rsidRDefault="00F0533A" w:rsidP="00F0533A">
      <w:pPr>
        <w:spacing w:after="200" w:line="276" w:lineRule="auto"/>
        <w:jc w:val="both"/>
        <w:rPr>
          <w:rFonts w:ascii="Arial" w:hAnsi="Arial" w:cs="Arial"/>
          <w:sz w:val="22"/>
          <w:szCs w:val="22"/>
        </w:rPr>
      </w:pPr>
      <w:r w:rsidRPr="00F0533A">
        <w:rPr>
          <w:rFonts w:ascii="Arial" w:hAnsi="Arial" w:cs="Arial"/>
          <w:b/>
          <w:bCs/>
          <w:sz w:val="22"/>
          <w:szCs w:val="22"/>
        </w:rPr>
        <w:t>Dosažená hodnota:</w:t>
      </w:r>
      <w:r w:rsidRPr="00F0533A">
        <w:rPr>
          <w:rFonts w:ascii="Arial" w:hAnsi="Arial" w:cs="Arial"/>
          <w:sz w:val="22"/>
          <w:szCs w:val="22"/>
        </w:rPr>
        <w:t xml:space="preserve"> </w:t>
      </w:r>
      <w:r w:rsidR="00404F55" w:rsidRPr="00404F55">
        <w:rPr>
          <w:rFonts w:ascii="Arial" w:hAnsi="Arial" w:cs="Arial"/>
          <w:sz w:val="22"/>
          <w:szCs w:val="22"/>
        </w:rPr>
        <w:t>Skutečný počet cyklistů užívajících cyklistickou infrastrukturu, kterou žadatel v rámci projektu vybudoval, zmodernizoval, zrekonstruoval nebo zrealizoval, za období 1. roku udržitelnosti projektu</w:t>
      </w:r>
      <w:r w:rsidR="00492658" w:rsidRPr="00FD41E1">
        <w:rPr>
          <w:rFonts w:ascii="Arial" w:hAnsi="Arial" w:cs="Arial"/>
          <w:sz w:val="22"/>
          <w:szCs w:val="22"/>
        </w:rPr>
        <w:t>.</w:t>
      </w:r>
      <w:r w:rsidR="00492658">
        <w:rPr>
          <w:rFonts w:ascii="Arial" w:hAnsi="Arial" w:cs="Arial"/>
          <w:sz w:val="22"/>
          <w:szCs w:val="22"/>
        </w:rPr>
        <w:t xml:space="preserve"> </w:t>
      </w:r>
      <w:r w:rsidRPr="00F0533A">
        <w:rPr>
          <w:rFonts w:ascii="Arial" w:hAnsi="Arial" w:cs="Arial"/>
          <w:sz w:val="22"/>
          <w:szCs w:val="22"/>
        </w:rPr>
        <w:t xml:space="preserve">Hodnotu je nutné vykázat </w:t>
      </w:r>
      <w:r w:rsidRPr="00492658">
        <w:rPr>
          <w:rFonts w:ascii="Arial" w:hAnsi="Arial" w:cs="Arial"/>
          <w:sz w:val="22"/>
          <w:szCs w:val="22"/>
        </w:rPr>
        <w:t>v</w:t>
      </w:r>
      <w:r w:rsidRPr="00492658">
        <w:t xml:space="preserve"> </w:t>
      </w:r>
      <w:r w:rsidRPr="00492658">
        <w:rPr>
          <w:rFonts w:ascii="Arial" w:hAnsi="Arial" w:cs="Arial"/>
          <w:sz w:val="22"/>
          <w:szCs w:val="22"/>
        </w:rPr>
        <w:t>1. Zprávě o udržitelnosti projektu ke skutečnému datu, kdy skončil první rok udržitelnosti projektu.</w:t>
      </w:r>
    </w:p>
    <w:p w14:paraId="39CCD78D" w14:textId="3422CAD4" w:rsidR="00F0533A" w:rsidRPr="00F0533A" w:rsidRDefault="00F0533A" w:rsidP="00F0533A">
      <w:pPr>
        <w:spacing w:after="200" w:line="276" w:lineRule="auto"/>
        <w:jc w:val="both"/>
        <w:rPr>
          <w:rFonts w:ascii="Arial" w:hAnsi="Arial" w:cs="Arial"/>
          <w:sz w:val="22"/>
          <w:szCs w:val="22"/>
        </w:rPr>
      </w:pPr>
      <w:r w:rsidRPr="00F0533A">
        <w:rPr>
          <w:rFonts w:ascii="Arial" w:hAnsi="Arial" w:cs="Arial"/>
          <w:sz w:val="22"/>
          <w:szCs w:val="22"/>
        </w:rPr>
        <w:t xml:space="preserve">Dosažená hodnota </w:t>
      </w:r>
      <w:r w:rsidR="00284577">
        <w:rPr>
          <w:rFonts w:ascii="Arial" w:hAnsi="Arial" w:cs="Arial"/>
          <w:sz w:val="22"/>
          <w:szCs w:val="22"/>
        </w:rPr>
        <w:t>je stanovena výpočtově</w:t>
      </w:r>
      <w:r w:rsidRPr="00F0533A">
        <w:rPr>
          <w:rFonts w:ascii="Arial" w:hAnsi="Arial" w:cs="Arial"/>
          <w:sz w:val="22"/>
          <w:szCs w:val="22"/>
        </w:rPr>
        <w:t xml:space="preserve"> </w:t>
      </w:r>
      <w:r w:rsidR="00551845">
        <w:rPr>
          <w:rFonts w:ascii="Arial" w:hAnsi="Arial" w:cs="Arial"/>
          <w:sz w:val="22"/>
          <w:szCs w:val="22"/>
        </w:rPr>
        <w:t xml:space="preserve">(nebo kontinuálním sčítáním) </w:t>
      </w:r>
      <w:r w:rsidRPr="00F0533A">
        <w:rPr>
          <w:rFonts w:ascii="Arial" w:hAnsi="Arial" w:cs="Arial"/>
          <w:sz w:val="22"/>
          <w:szCs w:val="22"/>
        </w:rPr>
        <w:t xml:space="preserve">a </w:t>
      </w:r>
      <w:r w:rsidR="00284577">
        <w:rPr>
          <w:rFonts w:ascii="Arial" w:hAnsi="Arial" w:cs="Arial"/>
          <w:sz w:val="22"/>
          <w:szCs w:val="22"/>
        </w:rPr>
        <w:t xml:space="preserve">v dalších letech </w:t>
      </w:r>
      <w:r w:rsidRPr="00F0533A">
        <w:rPr>
          <w:rFonts w:ascii="Arial" w:hAnsi="Arial" w:cs="Arial"/>
          <w:sz w:val="22"/>
          <w:szCs w:val="22"/>
        </w:rPr>
        <w:t xml:space="preserve">je vykazována ve Zprávách o udržitelnosti </w:t>
      </w:r>
      <w:bookmarkStart w:id="7" w:name="_Hlk114482994"/>
      <w:r w:rsidRPr="00F0533A">
        <w:rPr>
          <w:rFonts w:ascii="Arial" w:hAnsi="Arial" w:cs="Arial"/>
          <w:sz w:val="22"/>
          <w:szCs w:val="22"/>
        </w:rPr>
        <w:t>projektu</w:t>
      </w:r>
      <w:r w:rsidR="00284577">
        <w:rPr>
          <w:rFonts w:ascii="Arial" w:hAnsi="Arial" w:cs="Arial"/>
          <w:sz w:val="22"/>
          <w:szCs w:val="22"/>
        </w:rPr>
        <w:t xml:space="preserve"> pouze v případě změny aktivit projektu</w:t>
      </w:r>
      <w:bookmarkEnd w:id="7"/>
      <w:r w:rsidRPr="00F0533A">
        <w:rPr>
          <w:rFonts w:ascii="Arial" w:hAnsi="Arial" w:cs="Arial"/>
          <w:sz w:val="22"/>
          <w:szCs w:val="22"/>
        </w:rPr>
        <w:t>, a to včetně popisu, kdy a proč ke změně došlo.</w:t>
      </w:r>
    </w:p>
    <w:p w14:paraId="027621C1" w14:textId="77777777" w:rsidR="00F0533A" w:rsidRPr="00F0533A" w:rsidRDefault="00F0533A" w:rsidP="00F0533A">
      <w:pPr>
        <w:keepNext/>
        <w:spacing w:line="276" w:lineRule="auto"/>
        <w:jc w:val="both"/>
        <w:rPr>
          <w:rFonts w:ascii="Arial" w:eastAsiaTheme="minorHAnsi" w:hAnsi="Arial" w:cs="Arial"/>
          <w:b/>
          <w:bCs/>
          <w:i/>
          <w:iCs/>
          <w:caps/>
          <w:color w:val="31849B" w:themeColor="accent5" w:themeShade="BF"/>
          <w:lang w:eastAsia="en-US"/>
        </w:rPr>
      </w:pPr>
      <w:r w:rsidRPr="00F0533A">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0533A" w:rsidRPr="00F0533A" w14:paraId="78E46C23" w14:textId="77777777" w:rsidTr="00A251DF">
        <w:trPr>
          <w:trHeight w:val="1793"/>
        </w:trPr>
        <w:tc>
          <w:tcPr>
            <w:tcW w:w="4575" w:type="dxa"/>
          </w:tcPr>
          <w:p w14:paraId="08F9A150" w14:textId="77777777" w:rsidR="00F0533A" w:rsidRPr="00F46A30" w:rsidRDefault="00F0533A" w:rsidP="00F0533A">
            <w:pPr>
              <w:spacing w:line="276" w:lineRule="auto"/>
              <w:ind w:left="52"/>
              <w:jc w:val="both"/>
              <w:rPr>
                <w:rFonts w:ascii="Arial" w:hAnsi="Arial" w:cs="Arial"/>
                <w:b/>
                <w:bCs/>
                <w:sz w:val="22"/>
                <w:szCs w:val="22"/>
              </w:rPr>
            </w:pPr>
            <w:r w:rsidRPr="00FD41E1">
              <w:rPr>
                <w:rFonts w:ascii="Arial" w:hAnsi="Arial" w:cs="Arial"/>
                <w:b/>
                <w:bCs/>
                <w:sz w:val="22"/>
                <w:szCs w:val="22"/>
              </w:rPr>
              <w:t>V Zá</w:t>
            </w:r>
            <w:r w:rsidRPr="00F46A30">
              <w:rPr>
                <w:rFonts w:ascii="Arial" w:hAnsi="Arial" w:cs="Arial"/>
                <w:b/>
                <w:bCs/>
                <w:sz w:val="22"/>
                <w:szCs w:val="22"/>
              </w:rPr>
              <w:t>věrečné zprávě o realizaci projektu:</w:t>
            </w:r>
          </w:p>
          <w:p w14:paraId="7B43EE75" w14:textId="04DF7ED7" w:rsidR="00F0533A" w:rsidRPr="002318A5" w:rsidRDefault="00D05E91" w:rsidP="00F0533A">
            <w:pPr>
              <w:numPr>
                <w:ilvl w:val="0"/>
                <w:numId w:val="36"/>
              </w:numPr>
              <w:contextualSpacing/>
              <w:jc w:val="both"/>
              <w:rPr>
                <w:rFonts w:ascii="Arial" w:hAnsi="Arial" w:cs="Arial"/>
                <w:sz w:val="22"/>
                <w:szCs w:val="22"/>
              </w:rPr>
            </w:pPr>
            <w:r w:rsidRPr="00585E41">
              <w:rPr>
                <w:rFonts w:ascii="Arial" w:hAnsi="Arial" w:cs="Arial"/>
                <w:sz w:val="22"/>
                <w:szCs w:val="22"/>
              </w:rPr>
              <w:t xml:space="preserve">Indikátor je dokládán až v 1. </w:t>
            </w:r>
            <w:proofErr w:type="spellStart"/>
            <w:r w:rsidRPr="00585E41">
              <w:rPr>
                <w:rFonts w:ascii="Arial" w:hAnsi="Arial" w:cs="Arial"/>
                <w:sz w:val="22"/>
                <w:szCs w:val="22"/>
              </w:rPr>
              <w:t>ZoU</w:t>
            </w:r>
            <w:proofErr w:type="spellEnd"/>
            <w:r w:rsidRPr="00585E41">
              <w:rPr>
                <w:rFonts w:ascii="Arial" w:hAnsi="Arial" w:cs="Arial"/>
                <w:sz w:val="22"/>
                <w:szCs w:val="22"/>
              </w:rPr>
              <w:t xml:space="preserve">, </w:t>
            </w:r>
            <w:proofErr w:type="spellStart"/>
            <w:r w:rsidRPr="00585E41">
              <w:rPr>
                <w:rFonts w:ascii="Arial" w:hAnsi="Arial" w:cs="Arial"/>
                <w:sz w:val="22"/>
                <w:szCs w:val="22"/>
              </w:rPr>
              <w:t>ZoR</w:t>
            </w:r>
            <w:proofErr w:type="spellEnd"/>
            <w:r w:rsidRPr="00585E41">
              <w:rPr>
                <w:rFonts w:ascii="Arial" w:hAnsi="Arial" w:cs="Arial"/>
                <w:sz w:val="22"/>
                <w:szCs w:val="22"/>
              </w:rPr>
              <w:t xml:space="preserve"> nemá žádné pevně stanovené materiály</w:t>
            </w:r>
          </w:p>
        </w:tc>
        <w:tc>
          <w:tcPr>
            <w:tcW w:w="4691" w:type="dxa"/>
          </w:tcPr>
          <w:p w14:paraId="781FE9F3" w14:textId="77777777" w:rsidR="00F0533A" w:rsidRPr="00F46A30" w:rsidRDefault="00F0533A" w:rsidP="00F0533A">
            <w:pPr>
              <w:spacing w:line="276" w:lineRule="auto"/>
              <w:jc w:val="both"/>
              <w:rPr>
                <w:rFonts w:ascii="Arial" w:hAnsi="Arial" w:cs="Arial"/>
                <w:b/>
                <w:bCs/>
                <w:sz w:val="22"/>
                <w:szCs w:val="22"/>
              </w:rPr>
            </w:pPr>
            <w:r w:rsidRPr="00FD41E1">
              <w:rPr>
                <w:rFonts w:ascii="Arial" w:hAnsi="Arial" w:cs="Arial"/>
                <w:b/>
                <w:bCs/>
                <w:sz w:val="22"/>
                <w:szCs w:val="22"/>
              </w:rPr>
              <w:t>V 1. Zprávě o udržitelnosti projektu:</w:t>
            </w:r>
            <w:r w:rsidRPr="00F46A30">
              <w:rPr>
                <w:rFonts w:ascii="Arial" w:hAnsi="Arial" w:cs="Arial"/>
                <w:b/>
                <w:bCs/>
                <w:sz w:val="28"/>
                <w:szCs w:val="28"/>
              </w:rPr>
              <w:t xml:space="preserve"> </w:t>
            </w:r>
          </w:p>
          <w:p w14:paraId="4E3BB251" w14:textId="1CC42C95" w:rsidR="00F0533A" w:rsidRPr="002318A5" w:rsidRDefault="00D05E91" w:rsidP="00F0533A">
            <w:pPr>
              <w:numPr>
                <w:ilvl w:val="0"/>
                <w:numId w:val="36"/>
              </w:numPr>
              <w:contextualSpacing/>
              <w:rPr>
                <w:rFonts w:ascii="Arial" w:hAnsi="Arial" w:cs="Arial"/>
                <w:sz w:val="22"/>
                <w:szCs w:val="22"/>
              </w:rPr>
            </w:pPr>
            <w:r w:rsidRPr="00D05E91">
              <w:rPr>
                <w:rFonts w:ascii="Arial" w:hAnsi="Arial" w:cs="Arial"/>
                <w:sz w:val="22"/>
                <w:szCs w:val="22"/>
              </w:rPr>
              <w:t>Výpočet dosažené hodnoty indikátoru 7</w:t>
            </w:r>
            <w:r>
              <w:rPr>
                <w:rFonts w:ascii="Arial" w:hAnsi="Arial" w:cs="Arial"/>
                <w:sz w:val="22"/>
                <w:szCs w:val="22"/>
              </w:rPr>
              <w:t>61</w:t>
            </w:r>
            <w:r w:rsidRPr="00D05E91">
              <w:rPr>
                <w:rFonts w:ascii="Arial" w:hAnsi="Arial" w:cs="Arial"/>
                <w:sz w:val="22"/>
                <w:szCs w:val="22"/>
              </w:rPr>
              <w:t xml:space="preserve"> </w:t>
            </w:r>
            <w:r>
              <w:rPr>
                <w:rFonts w:ascii="Arial" w:hAnsi="Arial" w:cs="Arial"/>
                <w:sz w:val="22"/>
                <w:szCs w:val="22"/>
              </w:rPr>
              <w:t>2</w:t>
            </w:r>
            <w:r w:rsidRPr="00D05E91">
              <w:rPr>
                <w:rFonts w:ascii="Arial" w:hAnsi="Arial" w:cs="Arial"/>
                <w:sz w:val="22"/>
                <w:szCs w:val="22"/>
              </w:rPr>
              <w:t>01 v souladu s metodickým listem a analogicky s výpočtem výchozí hodnoty indikátoru 761 201 v</w:t>
            </w:r>
            <w:r w:rsidR="00236420">
              <w:rPr>
                <w:rFonts w:ascii="Arial" w:hAnsi="Arial" w:cs="Arial"/>
                <w:sz w:val="22"/>
                <w:szCs w:val="22"/>
              </w:rPr>
              <w:t> </w:t>
            </w:r>
            <w:r w:rsidR="00236420" w:rsidRPr="00B6719E">
              <w:rPr>
                <w:rFonts w:ascii="Arial" w:hAnsi="Arial" w:cs="Arial"/>
                <w:sz w:val="22"/>
                <w:szCs w:val="22"/>
              </w:rPr>
              <w:t>podkladech pro hodnocení</w:t>
            </w:r>
            <w:r w:rsidR="00236420">
              <w:rPr>
                <w:rFonts w:ascii="Arial" w:hAnsi="Arial" w:cs="Arial"/>
                <w:sz w:val="22"/>
                <w:szCs w:val="22"/>
              </w:rPr>
              <w:t xml:space="preserve"> </w:t>
            </w:r>
          </w:p>
          <w:p w14:paraId="6334BA85" w14:textId="77777777" w:rsidR="00F0533A" w:rsidRPr="002318A5" w:rsidRDefault="00F0533A" w:rsidP="00F0533A">
            <w:pPr>
              <w:spacing w:line="276" w:lineRule="auto"/>
              <w:ind w:left="52"/>
              <w:jc w:val="both"/>
              <w:rPr>
                <w:rFonts w:ascii="Arial" w:hAnsi="Arial" w:cs="Arial"/>
                <w:b/>
                <w:bCs/>
                <w:sz w:val="22"/>
                <w:szCs w:val="22"/>
              </w:rPr>
            </w:pPr>
          </w:p>
        </w:tc>
      </w:tr>
    </w:tbl>
    <w:p w14:paraId="6E15632A" w14:textId="04FEA180" w:rsidR="00F0533A" w:rsidRPr="00F0533A" w:rsidRDefault="00F0533A" w:rsidP="00F0533A">
      <w:pPr>
        <w:spacing w:before="120" w:after="200" w:line="276" w:lineRule="auto"/>
        <w:jc w:val="both"/>
        <w:rPr>
          <w:rFonts w:ascii="Arial" w:hAnsi="Arial" w:cs="Arial"/>
          <w:sz w:val="22"/>
          <w:szCs w:val="22"/>
        </w:rPr>
      </w:pPr>
      <w:r w:rsidRPr="00F0533A">
        <w:rPr>
          <w:rFonts w:ascii="Arial" w:hAnsi="Arial" w:cs="Arial"/>
          <w:sz w:val="22"/>
          <w:szCs w:val="22"/>
        </w:rPr>
        <w:t xml:space="preserve">Je nutné </w:t>
      </w:r>
      <w:r w:rsidRPr="00FD41E1">
        <w:rPr>
          <w:rFonts w:ascii="Arial" w:hAnsi="Arial" w:cs="Arial"/>
          <w:sz w:val="22"/>
          <w:szCs w:val="22"/>
        </w:rPr>
        <w:t xml:space="preserve">doložit </w:t>
      </w:r>
      <w:r w:rsidRPr="002318A5">
        <w:rPr>
          <w:rFonts w:ascii="Arial" w:hAnsi="Arial" w:cs="Arial"/>
          <w:sz w:val="22"/>
          <w:szCs w:val="22"/>
        </w:rPr>
        <w:t xml:space="preserve">všechny </w:t>
      </w:r>
      <w:r w:rsidRPr="005E1BD1">
        <w:rPr>
          <w:rFonts w:ascii="Arial" w:hAnsi="Arial" w:cs="Arial"/>
          <w:sz w:val="22"/>
          <w:szCs w:val="22"/>
        </w:rPr>
        <w:t xml:space="preserve">uvedené dokumenty. Pokud v době udržitelnosti dojde ke </w:t>
      </w:r>
      <w:r w:rsidR="00284577" w:rsidRPr="005E1BD1">
        <w:rPr>
          <w:rFonts w:ascii="Arial" w:hAnsi="Arial" w:cs="Arial"/>
          <w:sz w:val="22"/>
          <w:szCs w:val="22"/>
        </w:rPr>
        <w:t>z</w:t>
      </w:r>
      <w:r w:rsidR="00284577">
        <w:rPr>
          <w:rFonts w:ascii="Arial" w:hAnsi="Arial" w:cs="Arial"/>
          <w:sz w:val="22"/>
          <w:szCs w:val="22"/>
        </w:rPr>
        <w:t>měně aktivit projektu</w:t>
      </w:r>
      <w:r w:rsidRPr="005E1BD1">
        <w:rPr>
          <w:rFonts w:ascii="Arial" w:hAnsi="Arial" w:cs="Arial"/>
          <w:sz w:val="22"/>
          <w:szCs w:val="22"/>
        </w:rPr>
        <w:t>, bude v nejbližší následující</w:t>
      </w:r>
      <w:r w:rsidRPr="00F0533A">
        <w:rPr>
          <w:rFonts w:ascii="Arial" w:hAnsi="Arial" w:cs="Arial"/>
          <w:sz w:val="22"/>
          <w:szCs w:val="22"/>
        </w:rPr>
        <w:t xml:space="preserve"> Zprávě o udržitelnosti projektu vykázána aktualizovaná dosažená hodnota, včetně data, od kterého platí. Zároveň budou opětovně dodány materiály pro její ověření.</w:t>
      </w:r>
    </w:p>
    <w:p w14:paraId="458A2430" w14:textId="77777777" w:rsidR="00F0533A" w:rsidRPr="00F0533A" w:rsidRDefault="00F0533A" w:rsidP="00F0533A">
      <w:pPr>
        <w:keepNext/>
        <w:spacing w:before="240" w:line="276" w:lineRule="auto"/>
        <w:jc w:val="both"/>
        <w:rPr>
          <w:rFonts w:ascii="Arial" w:eastAsiaTheme="minorHAnsi" w:hAnsi="Arial" w:cs="Arial"/>
          <w:b/>
          <w:bCs/>
          <w:i/>
          <w:iCs/>
          <w:caps/>
          <w:color w:val="31849B" w:themeColor="accent5" w:themeShade="BF"/>
          <w:lang w:eastAsia="en-US"/>
        </w:rPr>
      </w:pPr>
      <w:r w:rsidRPr="00F0533A">
        <w:rPr>
          <w:rFonts w:ascii="Arial" w:eastAsiaTheme="minorHAnsi" w:hAnsi="Arial" w:cs="Arial"/>
          <w:b/>
          <w:bCs/>
          <w:i/>
          <w:iCs/>
          <w:caps/>
          <w:color w:val="31849B" w:themeColor="accent5" w:themeShade="BF"/>
          <w:lang w:eastAsia="en-US"/>
        </w:rPr>
        <w:t xml:space="preserve">TOLERANCE DOSAŽENÍ a udržení indikátoru </w:t>
      </w:r>
    </w:p>
    <w:p w14:paraId="5F9B2EDC" w14:textId="76918320" w:rsidR="00F0533A" w:rsidRPr="00F0533A" w:rsidRDefault="00463432" w:rsidP="00F0533A">
      <w:pPr>
        <w:spacing w:after="200" w:line="276" w:lineRule="auto"/>
        <w:jc w:val="both"/>
        <w:rPr>
          <w:rFonts w:ascii="Arial" w:hAnsi="Arial" w:cs="Arial"/>
          <w:sz w:val="22"/>
          <w:szCs w:val="22"/>
          <w:highlight w:val="yellow"/>
        </w:rPr>
      </w:pPr>
      <w:r w:rsidRPr="00463432">
        <w:rPr>
          <w:rFonts w:ascii="Arial" w:hAnsi="Arial" w:cs="Arial"/>
          <w:sz w:val="22"/>
          <w:szCs w:val="22"/>
        </w:rPr>
        <w:t>Nenaplnění cílové hodnoty indikátoru není sankcionováno</w:t>
      </w:r>
      <w:r w:rsidR="00F0533A" w:rsidRPr="00F0533A">
        <w:rPr>
          <w:rFonts w:ascii="Arial" w:hAnsi="Arial" w:cs="Arial"/>
          <w:sz w:val="22"/>
          <w:szCs w:val="22"/>
        </w:rPr>
        <w:t>.</w:t>
      </w:r>
    </w:p>
    <w:p w14:paraId="5F619D90" w14:textId="267006EA" w:rsidR="00F0533A" w:rsidRPr="00F0533A" w:rsidRDefault="00F0533A" w:rsidP="00F0533A">
      <w:pPr>
        <w:spacing w:after="200" w:line="276" w:lineRule="auto"/>
        <w:jc w:val="both"/>
        <w:rPr>
          <w:rFonts w:ascii="Arial" w:hAnsi="Arial" w:cs="Arial"/>
          <w:sz w:val="22"/>
          <w:szCs w:val="22"/>
        </w:rPr>
      </w:pPr>
      <w:r w:rsidRPr="00F0533A">
        <w:rPr>
          <w:rFonts w:ascii="Arial" w:hAnsi="Arial" w:cs="Arial"/>
          <w:sz w:val="22"/>
          <w:szCs w:val="22"/>
        </w:rPr>
        <w:t>Pokud se během realizace projektu objeví skutečnosti, které povedou k</w:t>
      </w:r>
      <w:r w:rsidR="00463432">
        <w:rPr>
          <w:rFonts w:ascii="Arial" w:hAnsi="Arial" w:cs="Arial"/>
          <w:sz w:val="22"/>
          <w:szCs w:val="22"/>
        </w:rPr>
        <w:t>e změně</w:t>
      </w:r>
      <w:r w:rsidRPr="00F0533A">
        <w:rPr>
          <w:rFonts w:ascii="Arial" w:hAnsi="Arial" w:cs="Arial"/>
          <w:sz w:val="22"/>
          <w:szCs w:val="22"/>
        </w:rPr>
        <w:t xml:space="preserve"> cílové hodnoty indikátoru, je možné ze strany příjemce iniciovat změnové řízení, kde příjemce zdůvodní </w:t>
      </w:r>
      <w:r w:rsidR="00463432" w:rsidRPr="00463432">
        <w:rPr>
          <w:rFonts w:ascii="Arial" w:hAnsi="Arial" w:cs="Arial"/>
          <w:sz w:val="22"/>
          <w:szCs w:val="22"/>
        </w:rPr>
        <w:t>a popíše výpočet změněné cílové hodnoty indikátoru</w:t>
      </w:r>
      <w:r w:rsidRPr="00F0533A">
        <w:rPr>
          <w:rFonts w:ascii="Arial" w:hAnsi="Arial" w:cs="Arial"/>
          <w:sz w:val="22"/>
          <w:szCs w:val="22"/>
        </w:rPr>
        <w:t xml:space="preserve">. </w:t>
      </w:r>
    </w:p>
    <w:p w14:paraId="2E2A7A2A" w14:textId="5E4E51FB" w:rsidR="00F0533A" w:rsidRDefault="00F0533A" w:rsidP="00F0533A">
      <w:pPr>
        <w:spacing w:after="200" w:line="276" w:lineRule="auto"/>
        <w:jc w:val="both"/>
        <w:rPr>
          <w:rFonts w:ascii="Arial" w:hAnsi="Arial" w:cs="Arial"/>
          <w:sz w:val="22"/>
          <w:szCs w:val="22"/>
        </w:rPr>
      </w:pPr>
      <w:r w:rsidRPr="00F0533A">
        <w:rPr>
          <w:rFonts w:ascii="Arial" w:hAnsi="Arial" w:cs="Arial"/>
          <w:sz w:val="22"/>
          <w:szCs w:val="22"/>
        </w:rPr>
        <w:t xml:space="preserve">V době udržitelnosti již </w:t>
      </w:r>
      <w:r w:rsidRPr="00F0533A">
        <w:rPr>
          <w:rFonts w:ascii="Arial" w:hAnsi="Arial" w:cs="Arial"/>
          <w:b/>
          <w:bCs/>
          <w:sz w:val="22"/>
          <w:szCs w:val="22"/>
          <w:u w:val="single"/>
        </w:rPr>
        <w:t>nelze cílovou hodnotu upravit</w:t>
      </w:r>
      <w:r w:rsidRPr="00F0533A">
        <w:rPr>
          <w:rFonts w:ascii="Arial" w:hAnsi="Arial" w:cs="Arial"/>
          <w:sz w:val="22"/>
          <w:szCs w:val="22"/>
        </w:rPr>
        <w:t xml:space="preserve"> a zůstává zafixovaná ve výši platné k datu skutečného ukončení realizace projektu.</w:t>
      </w:r>
    </w:p>
    <w:p w14:paraId="733EB914" w14:textId="77777777" w:rsidR="006C0D9C" w:rsidRPr="000465C4" w:rsidRDefault="006C0D9C" w:rsidP="006C0D9C">
      <w:pPr>
        <w:spacing w:before="120" w:after="120" w:line="276" w:lineRule="auto"/>
        <w:jc w:val="both"/>
        <w:rPr>
          <w:rStyle w:val="Zdraznnintenzivn"/>
          <w:rFonts w:ascii="Arial" w:eastAsiaTheme="minorHAnsi" w:hAnsi="Arial" w:cs="Arial"/>
          <w:b/>
          <w:bCs/>
          <w:caps/>
          <w:color w:val="31849B" w:themeColor="accent5" w:themeShade="BF"/>
          <w:lang w:eastAsia="en-US"/>
        </w:rPr>
      </w:pPr>
      <w:r w:rsidRPr="009F5A5E">
        <w:rPr>
          <w:rStyle w:val="Zdraznnintenzivn"/>
          <w:rFonts w:ascii="Arial" w:eastAsiaTheme="minorHAnsi" w:hAnsi="Arial" w:cs="Arial"/>
          <w:b/>
          <w:bCs/>
          <w:caps/>
          <w:color w:val="31849B" w:themeColor="accent5" w:themeShade="BF"/>
          <w:lang w:eastAsia="en-US"/>
        </w:rPr>
        <w:t>Návod na Výpočet</w:t>
      </w:r>
    </w:p>
    <w:p w14:paraId="5F4A473F" w14:textId="53018589" w:rsidR="00510993" w:rsidRPr="00510993" w:rsidRDefault="00510993" w:rsidP="00510993">
      <w:pPr>
        <w:spacing w:before="120" w:after="120" w:line="276" w:lineRule="auto"/>
        <w:jc w:val="both"/>
        <w:rPr>
          <w:rFonts w:ascii="Arial" w:hAnsi="Arial" w:cs="Arial"/>
          <w:sz w:val="22"/>
          <w:szCs w:val="22"/>
        </w:rPr>
      </w:pPr>
      <w:r w:rsidRPr="00510993">
        <w:rPr>
          <w:rFonts w:ascii="Arial" w:hAnsi="Arial" w:cs="Arial"/>
          <w:sz w:val="22"/>
          <w:szCs w:val="22"/>
        </w:rPr>
        <w:t xml:space="preserve">Výchozí hodnotu indikátoru žadatel stanoví na základě libovolné relevantní metody, kterou popíše (např. použití automatických sčítačů, přepočet z dat automatického nebo manuálního sčítání podle TP 189). Vhodnost metody je třeba zvážit také s ohledem na povinnost aplikace stejné metody ke stanovení dosažené hodnoty indikátoru. Sčítání musí být provedeno v reprezentativním úseku/lokalitě cyklistické infrastruktury. </w:t>
      </w:r>
      <w:r w:rsidRPr="00FB61D8">
        <w:rPr>
          <w:rFonts w:ascii="Arial" w:hAnsi="Arial" w:cs="Arial"/>
          <w:sz w:val="22"/>
          <w:szCs w:val="22"/>
        </w:rPr>
        <w:t>Pokud je předmětem projektu více nesouvisejících úseků/lokalit cyklistické infrastruktury na různých trasách cyklistické dopravy, žadatel stanoví příslušné počty cyklistů odděleně, a tyto hodnoty pak sečte.</w:t>
      </w:r>
      <w:r w:rsidRPr="00510993">
        <w:rPr>
          <w:rFonts w:ascii="Arial" w:hAnsi="Arial" w:cs="Arial"/>
          <w:sz w:val="22"/>
          <w:szCs w:val="22"/>
        </w:rPr>
        <w:t xml:space="preserve"> </w:t>
      </w:r>
      <w:r w:rsidR="00FB61D8" w:rsidRPr="00FB61D8">
        <w:rPr>
          <w:rFonts w:ascii="Arial" w:hAnsi="Arial" w:cs="Arial"/>
          <w:sz w:val="22"/>
          <w:szCs w:val="22"/>
        </w:rPr>
        <w:t xml:space="preserve">Pokud ale půjde o více nesouvisejících úseků/lokalit cyklistické infrastruktury na téže trase cyklistické dopravy, </w:t>
      </w:r>
      <w:r w:rsidR="00FB61D8">
        <w:rPr>
          <w:rFonts w:ascii="Arial" w:hAnsi="Arial" w:cs="Arial"/>
          <w:sz w:val="22"/>
          <w:szCs w:val="22"/>
        </w:rPr>
        <w:t>žadatel vybere k vykázání jeden, nejvíce reprezentativní úsek/lokalitu.</w:t>
      </w:r>
    </w:p>
    <w:p w14:paraId="3F9C2DC7" w14:textId="77777777" w:rsidR="00510993" w:rsidRPr="00510993" w:rsidRDefault="00510993" w:rsidP="00510993">
      <w:pPr>
        <w:spacing w:before="120" w:after="120" w:line="276" w:lineRule="auto"/>
        <w:jc w:val="both"/>
        <w:rPr>
          <w:rFonts w:ascii="Arial" w:hAnsi="Arial" w:cs="Arial"/>
          <w:sz w:val="22"/>
          <w:szCs w:val="22"/>
        </w:rPr>
      </w:pPr>
      <w:r w:rsidRPr="00510993">
        <w:rPr>
          <w:rFonts w:ascii="Arial" w:hAnsi="Arial" w:cs="Arial"/>
          <w:sz w:val="22"/>
          <w:szCs w:val="22"/>
        </w:rPr>
        <w:lastRenderedPageBreak/>
        <w:t>Cílovou hodnotu indikátoru musí žadatel odhadnout na základě relevantní metody, kterou popíše (např. použití nástrojů pro modelování dopravy, kvalifikovaného odhadu).</w:t>
      </w:r>
    </w:p>
    <w:p w14:paraId="5B0C77A8" w14:textId="08575342" w:rsidR="002A11C0" w:rsidRPr="002A11C0" w:rsidRDefault="00510993" w:rsidP="002A11C0">
      <w:pPr>
        <w:spacing w:after="200" w:line="276" w:lineRule="auto"/>
        <w:jc w:val="both"/>
        <w:rPr>
          <w:rStyle w:val="Zdraznnintenzivn"/>
          <w:rFonts w:ascii="Arial" w:hAnsi="Arial" w:cs="Arial"/>
          <w:i w:val="0"/>
          <w:iCs w:val="0"/>
          <w:color w:val="auto"/>
          <w:sz w:val="22"/>
          <w:szCs w:val="22"/>
        </w:rPr>
      </w:pPr>
      <w:r w:rsidRPr="00510993">
        <w:rPr>
          <w:rFonts w:ascii="Arial" w:hAnsi="Arial" w:cs="Arial"/>
          <w:sz w:val="22"/>
          <w:szCs w:val="22"/>
        </w:rPr>
        <w:t>Dosaženou hodnotu indikátoru žadatel stanoví s použitím shodné metody jako při stanovení výchozí hodnoty</w:t>
      </w:r>
      <w:r w:rsidR="00A04857">
        <w:rPr>
          <w:rFonts w:ascii="Arial" w:hAnsi="Arial" w:cs="Arial"/>
          <w:sz w:val="22"/>
          <w:szCs w:val="22"/>
        </w:rPr>
        <w:t xml:space="preserve"> nebo s použitím </w:t>
      </w:r>
      <w:r w:rsidR="00A04857" w:rsidRPr="00A04857">
        <w:rPr>
          <w:rFonts w:ascii="Arial" w:hAnsi="Arial" w:cs="Arial"/>
          <w:sz w:val="22"/>
          <w:szCs w:val="22"/>
        </w:rPr>
        <w:t>trval</w:t>
      </w:r>
      <w:r w:rsidR="00A04857">
        <w:rPr>
          <w:rFonts w:ascii="Arial" w:hAnsi="Arial" w:cs="Arial"/>
          <w:sz w:val="22"/>
          <w:szCs w:val="22"/>
        </w:rPr>
        <w:t>ého</w:t>
      </w:r>
      <w:r w:rsidR="00A04857" w:rsidRPr="00A04857">
        <w:rPr>
          <w:rFonts w:ascii="Arial" w:hAnsi="Arial" w:cs="Arial"/>
          <w:sz w:val="22"/>
          <w:szCs w:val="22"/>
        </w:rPr>
        <w:t xml:space="preserve"> automatick</w:t>
      </w:r>
      <w:r w:rsidR="00A04857">
        <w:rPr>
          <w:rFonts w:ascii="Arial" w:hAnsi="Arial" w:cs="Arial"/>
          <w:sz w:val="22"/>
          <w:szCs w:val="22"/>
        </w:rPr>
        <w:t>ého</w:t>
      </w:r>
      <w:r w:rsidR="00A04857" w:rsidRPr="00A04857">
        <w:rPr>
          <w:rFonts w:ascii="Arial" w:hAnsi="Arial" w:cs="Arial"/>
          <w:sz w:val="22"/>
          <w:szCs w:val="22"/>
        </w:rPr>
        <w:t xml:space="preserve"> sčítač</w:t>
      </w:r>
      <w:r w:rsidR="00A04857">
        <w:rPr>
          <w:rFonts w:ascii="Arial" w:hAnsi="Arial" w:cs="Arial"/>
          <w:sz w:val="22"/>
          <w:szCs w:val="22"/>
        </w:rPr>
        <w:t>e</w:t>
      </w:r>
      <w:r w:rsidR="00A04857" w:rsidRPr="00A04857">
        <w:rPr>
          <w:rFonts w:ascii="Arial" w:hAnsi="Arial" w:cs="Arial"/>
          <w:sz w:val="22"/>
          <w:szCs w:val="22"/>
        </w:rPr>
        <w:t xml:space="preserve"> cyklistické dopravy</w:t>
      </w:r>
      <w:r w:rsidRPr="00510993">
        <w:rPr>
          <w:rFonts w:ascii="Arial" w:hAnsi="Arial" w:cs="Arial"/>
          <w:sz w:val="22"/>
          <w:szCs w:val="22"/>
        </w:rPr>
        <w:t>. Pokud nebude z objektivních důvodů možné aplikovat shodnou metodu, žadatel důkladně popíše a použije takovou náhradní metodu, která zachová porovnatelnost obou hodnot</w:t>
      </w:r>
      <w:r w:rsidR="00863C19">
        <w:rPr>
          <w:rFonts w:ascii="Arial" w:hAnsi="Arial" w:cs="Arial"/>
          <w:sz w:val="22"/>
          <w:szCs w:val="22"/>
        </w:rPr>
        <w:t>.</w:t>
      </w:r>
    </w:p>
    <w:sectPr w:rsidR="002A11C0" w:rsidRPr="002A11C0" w:rsidSect="002318A5">
      <w:headerReference w:type="default" r:id="rId16"/>
      <w:headerReference w:type="first" r:id="rId17"/>
      <w:foot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C35B" w14:textId="77777777" w:rsidR="004B1AC3" w:rsidRDefault="004B1AC3" w:rsidP="00634381">
      <w:r>
        <w:separator/>
      </w:r>
    </w:p>
    <w:p w14:paraId="7AD24F06" w14:textId="77777777" w:rsidR="004B1AC3" w:rsidRDefault="004B1AC3"/>
  </w:endnote>
  <w:endnote w:type="continuationSeparator" w:id="0">
    <w:p w14:paraId="23A257A5" w14:textId="77777777" w:rsidR="004B1AC3" w:rsidRDefault="004B1AC3" w:rsidP="00634381">
      <w:r>
        <w:continuationSeparator/>
      </w:r>
    </w:p>
    <w:p w14:paraId="260911DC" w14:textId="77777777" w:rsidR="004B1AC3" w:rsidRDefault="004B1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706035"/>
      <w:docPartObj>
        <w:docPartGallery w:val="Page Numbers (Bottom of Page)"/>
        <w:docPartUnique/>
      </w:docPartObj>
    </w:sdtPr>
    <w:sdtEndPr>
      <w:rPr>
        <w:rFonts w:ascii="Arial" w:hAnsi="Arial" w:cs="Arial"/>
        <w:sz w:val="20"/>
        <w:szCs w:val="20"/>
      </w:rPr>
    </w:sdtEndPr>
    <w:sdtContent>
      <w:p w14:paraId="46D8EC4F" w14:textId="77735F8D" w:rsidR="004F11E2" w:rsidRPr="002318A5" w:rsidRDefault="004F11E2">
        <w:pPr>
          <w:pStyle w:val="Zpat"/>
          <w:jc w:val="right"/>
          <w:rPr>
            <w:rFonts w:ascii="Arial" w:hAnsi="Arial" w:cs="Arial"/>
            <w:sz w:val="20"/>
            <w:szCs w:val="20"/>
          </w:rPr>
        </w:pPr>
        <w:r w:rsidRPr="002318A5">
          <w:rPr>
            <w:rFonts w:ascii="Arial" w:hAnsi="Arial" w:cs="Arial"/>
            <w:sz w:val="20"/>
            <w:szCs w:val="20"/>
          </w:rPr>
          <w:fldChar w:fldCharType="begin"/>
        </w:r>
        <w:r w:rsidRPr="002318A5">
          <w:rPr>
            <w:rFonts w:ascii="Arial" w:hAnsi="Arial" w:cs="Arial"/>
            <w:sz w:val="20"/>
            <w:szCs w:val="20"/>
          </w:rPr>
          <w:instrText>PAGE   \* MERGEFORMAT</w:instrText>
        </w:r>
        <w:r w:rsidRPr="002318A5">
          <w:rPr>
            <w:rFonts w:ascii="Arial" w:hAnsi="Arial" w:cs="Arial"/>
            <w:sz w:val="20"/>
            <w:szCs w:val="20"/>
          </w:rPr>
          <w:fldChar w:fldCharType="separate"/>
        </w:r>
        <w:r w:rsidRPr="002318A5">
          <w:rPr>
            <w:rFonts w:ascii="Arial" w:hAnsi="Arial" w:cs="Arial"/>
            <w:sz w:val="20"/>
            <w:szCs w:val="20"/>
          </w:rPr>
          <w:t>2</w:t>
        </w:r>
        <w:r w:rsidRPr="002318A5">
          <w:rPr>
            <w:rFonts w:ascii="Arial" w:hAnsi="Arial" w:cs="Arial"/>
            <w:sz w:val="20"/>
            <w:szCs w:val="20"/>
          </w:rPr>
          <w:fldChar w:fldCharType="end"/>
        </w:r>
      </w:p>
    </w:sdtContent>
  </w:sdt>
  <w:p w14:paraId="4A91E360" w14:textId="77777777" w:rsidR="00442612" w:rsidRDefault="004426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8DCF" w14:textId="474485DA" w:rsidR="00442612" w:rsidRDefault="00442612" w:rsidP="002318A5">
    <w:pPr>
      <w:pStyle w:val="Zpat"/>
    </w:pPr>
  </w:p>
  <w:p w14:paraId="692A1E66" w14:textId="77777777" w:rsidR="00442612" w:rsidRDefault="004426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0492"/>
      <w:docPartObj>
        <w:docPartGallery w:val="Page Numbers (Bottom of Page)"/>
        <w:docPartUnique/>
      </w:docPartObj>
    </w:sdtPr>
    <w:sdtEndPr>
      <w:rPr>
        <w:rFonts w:ascii="Arial" w:hAnsi="Arial" w:cs="Arial"/>
        <w:sz w:val="20"/>
        <w:szCs w:val="20"/>
      </w:rPr>
    </w:sdtEndPr>
    <w:sdtContent>
      <w:p w14:paraId="64E19162" w14:textId="7ACF6E5A" w:rsidR="004F11E2" w:rsidRPr="002318A5" w:rsidRDefault="004F11E2">
        <w:pPr>
          <w:pStyle w:val="Zpat"/>
          <w:jc w:val="right"/>
          <w:rPr>
            <w:rFonts w:ascii="Arial" w:hAnsi="Arial" w:cs="Arial"/>
            <w:sz w:val="20"/>
            <w:szCs w:val="20"/>
          </w:rPr>
        </w:pPr>
        <w:r w:rsidRPr="002318A5">
          <w:rPr>
            <w:rFonts w:ascii="Arial" w:hAnsi="Arial" w:cs="Arial"/>
            <w:sz w:val="20"/>
            <w:szCs w:val="20"/>
          </w:rPr>
          <w:fldChar w:fldCharType="begin"/>
        </w:r>
        <w:r w:rsidRPr="002318A5">
          <w:rPr>
            <w:rFonts w:ascii="Arial" w:hAnsi="Arial" w:cs="Arial"/>
            <w:sz w:val="20"/>
            <w:szCs w:val="20"/>
          </w:rPr>
          <w:instrText>PAGE   \* MERGEFORMAT</w:instrText>
        </w:r>
        <w:r w:rsidRPr="002318A5">
          <w:rPr>
            <w:rFonts w:ascii="Arial" w:hAnsi="Arial" w:cs="Arial"/>
            <w:sz w:val="20"/>
            <w:szCs w:val="20"/>
          </w:rPr>
          <w:fldChar w:fldCharType="separate"/>
        </w:r>
        <w:r w:rsidRPr="002318A5">
          <w:rPr>
            <w:rFonts w:ascii="Arial" w:hAnsi="Arial" w:cs="Arial"/>
            <w:sz w:val="20"/>
            <w:szCs w:val="20"/>
          </w:rPr>
          <w:t>2</w:t>
        </w:r>
        <w:r w:rsidRPr="002318A5">
          <w:rPr>
            <w:rFonts w:ascii="Arial" w:hAnsi="Arial" w:cs="Arial"/>
            <w:sz w:val="20"/>
            <w:szCs w:val="20"/>
          </w:rPr>
          <w:fldChar w:fldCharType="end"/>
        </w:r>
      </w:p>
    </w:sdtContent>
  </w:sdt>
  <w:p w14:paraId="7EDF80C4" w14:textId="77777777" w:rsidR="00442612" w:rsidRDefault="004426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30BA" w14:textId="6E2D416A" w:rsidR="004B1AC3" w:rsidRDefault="004B1AC3">
      <w:r>
        <w:separator/>
      </w:r>
    </w:p>
  </w:footnote>
  <w:footnote w:type="continuationSeparator" w:id="0">
    <w:p w14:paraId="310D4654" w14:textId="77777777" w:rsidR="004B1AC3" w:rsidRDefault="004B1AC3" w:rsidP="00634381">
      <w:r>
        <w:continuationSeparator/>
      </w:r>
    </w:p>
    <w:p w14:paraId="654FDFB4" w14:textId="77777777" w:rsidR="004B1AC3" w:rsidRDefault="004B1AC3"/>
  </w:footnote>
  <w:footnote w:id="1">
    <w:p w14:paraId="02A21352" w14:textId="2BBF8100" w:rsidR="00AF3D0A" w:rsidRPr="002318A5" w:rsidRDefault="00AF3D0A">
      <w:pPr>
        <w:pStyle w:val="Textpoznpodarou"/>
        <w:rPr>
          <w:rFonts w:ascii="Arial" w:hAnsi="Arial" w:cs="Arial"/>
          <w:sz w:val="18"/>
          <w:szCs w:val="18"/>
        </w:rPr>
      </w:pPr>
      <w:r w:rsidRPr="002318A5">
        <w:rPr>
          <w:rStyle w:val="Znakapoznpodarou"/>
          <w:rFonts w:ascii="Arial" w:hAnsi="Arial" w:cs="Arial"/>
          <w:sz w:val="18"/>
          <w:szCs w:val="18"/>
        </w:rPr>
        <w:footnoteRef/>
      </w:r>
      <w:r w:rsidRPr="002318A5">
        <w:rPr>
          <w:rFonts w:ascii="Arial" w:hAnsi="Arial" w:cs="Arial"/>
          <w:sz w:val="18"/>
          <w:szCs w:val="18"/>
        </w:rPr>
        <w:t xml:space="preserve"> </w:t>
      </w:r>
      <w:r w:rsidR="008E4F0B" w:rsidRPr="002318A5">
        <w:rPr>
          <w:rFonts w:ascii="Arial" w:hAnsi="Arial" w:cs="Arial"/>
          <w:sz w:val="18"/>
          <w:szCs w:val="18"/>
        </w:rPr>
        <w:t>Například: pokud je tolerance 20 % z cílové hodnoty 100 ks (=80 ks) a příjemce vykáže k Rozhodnému datu pro naplnění 85 ks, využil z tolerance již ¾ (</w:t>
      </w:r>
      <w:proofErr w:type="gramStart"/>
      <w:r w:rsidR="008E4F0B" w:rsidRPr="002318A5">
        <w:rPr>
          <w:rFonts w:ascii="Arial" w:hAnsi="Arial" w:cs="Arial"/>
          <w:sz w:val="18"/>
          <w:szCs w:val="18"/>
        </w:rPr>
        <w:t>15 procentních</w:t>
      </w:r>
      <w:proofErr w:type="gramEnd"/>
      <w:r w:rsidR="008E4F0B" w:rsidRPr="002318A5">
        <w:rPr>
          <w:rFonts w:ascii="Arial" w:hAnsi="Arial" w:cs="Arial"/>
          <w:sz w:val="18"/>
          <w:szCs w:val="18"/>
        </w:rPr>
        <w:t xml:space="preserve"> bodů) a v období udržitelnosti může klesnout pouze o dalších 5 % z cílové hodnoty platné k Rozhodnému datu.</w:t>
      </w:r>
    </w:p>
  </w:footnote>
  <w:footnote w:id="2">
    <w:p w14:paraId="4B3F2E2A" w14:textId="77777777" w:rsidR="00F0533A" w:rsidRPr="002318A5" w:rsidRDefault="00F0533A" w:rsidP="00F0533A">
      <w:pPr>
        <w:pStyle w:val="Textpoznpodarou"/>
        <w:rPr>
          <w:rFonts w:ascii="Arial" w:hAnsi="Arial" w:cs="Arial"/>
          <w:sz w:val="18"/>
          <w:szCs w:val="18"/>
        </w:rPr>
      </w:pPr>
      <w:r w:rsidRPr="002318A5">
        <w:rPr>
          <w:rStyle w:val="Znakapoznpodarou"/>
          <w:rFonts w:ascii="Arial" w:hAnsi="Arial" w:cs="Arial"/>
          <w:sz w:val="18"/>
          <w:szCs w:val="18"/>
        </w:rPr>
        <w:footnoteRef/>
      </w:r>
      <w:r w:rsidRPr="002318A5">
        <w:rPr>
          <w:rFonts w:ascii="Arial" w:hAnsi="Arial" w:cs="Arial"/>
          <w:sz w:val="18"/>
          <w:szCs w:val="18"/>
        </w:rPr>
        <w:t xml:space="preserve"> Například: pokud je tolerance 20 % z cílové hodnoty 100 ks (=80 ks) a příjemce vykáže k Rozhodnému datu pro naplnění 85 ks, využil z tolerance již ¾ (</w:t>
      </w:r>
      <w:proofErr w:type="gramStart"/>
      <w:r w:rsidRPr="002318A5">
        <w:rPr>
          <w:rFonts w:ascii="Arial" w:hAnsi="Arial" w:cs="Arial"/>
          <w:sz w:val="18"/>
          <w:szCs w:val="18"/>
        </w:rPr>
        <w:t>15 procentních</w:t>
      </w:r>
      <w:proofErr w:type="gramEnd"/>
      <w:r w:rsidRPr="002318A5">
        <w:rPr>
          <w:rFonts w:ascii="Arial" w:hAnsi="Arial" w:cs="Arial"/>
          <w:sz w:val="18"/>
          <w:szCs w:val="18"/>
        </w:rPr>
        <w:t xml:space="preserve"> bodů) a v období udržitelnosti může klesnout pouze o dalších 5 % z cílové hodnoty platné k Rozhodnému datu.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35D3" w14:textId="77777777" w:rsidR="00E71619" w:rsidRDefault="00E71619" w:rsidP="008A17FD">
    <w:pPr>
      <w:pStyle w:val="Zhlav"/>
      <w:jc w:val="center"/>
    </w:pPr>
  </w:p>
  <w:p w14:paraId="3B8FCE2C" w14:textId="77777777" w:rsidR="00E71619" w:rsidRDefault="00E716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A268" w14:textId="5975E2E1" w:rsidR="00E71619" w:rsidRDefault="00E71619" w:rsidP="008C64C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92D3" w14:textId="77777777" w:rsidR="003A0F0F" w:rsidRDefault="002A11C0">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A55A" w14:textId="77777777" w:rsidR="00442612" w:rsidRDefault="00442612" w:rsidP="008C64CA">
    <w:pPr>
      <w:pStyle w:val="Zhlav"/>
      <w:jc w:val="center"/>
    </w:pPr>
    <w:r>
      <w:rPr>
        <w:noProof/>
      </w:rPr>
      <w:drawing>
        <wp:inline distT="0" distB="0" distL="0" distR="0" wp14:anchorId="621A3FAA" wp14:editId="24095206">
          <wp:extent cx="5759450" cy="699135"/>
          <wp:effectExtent l="0" t="0" r="0"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4A1B2A"/>
    <w:multiLevelType w:val="hybridMultilevel"/>
    <w:tmpl w:val="C332D6E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857426"/>
    <w:multiLevelType w:val="hybridMultilevel"/>
    <w:tmpl w:val="27C66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7"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1"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0C6BFF"/>
    <w:multiLevelType w:val="hybridMultilevel"/>
    <w:tmpl w:val="AEBCF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34"/>
  </w:num>
  <w:num w:numId="5">
    <w:abstractNumId w:val="6"/>
  </w:num>
  <w:num w:numId="6">
    <w:abstractNumId w:val="28"/>
  </w:num>
  <w:num w:numId="7">
    <w:abstractNumId w:val="8"/>
  </w:num>
  <w:num w:numId="8">
    <w:abstractNumId w:val="9"/>
  </w:num>
  <w:num w:numId="9">
    <w:abstractNumId w:val="19"/>
  </w:num>
  <w:num w:numId="10">
    <w:abstractNumId w:val="4"/>
  </w:num>
  <w:num w:numId="11">
    <w:abstractNumId w:val="35"/>
  </w:num>
  <w:num w:numId="12">
    <w:abstractNumId w:val="24"/>
  </w:num>
  <w:num w:numId="13">
    <w:abstractNumId w:val="8"/>
    <w:lvlOverride w:ilvl="0">
      <w:startOverride w:val="1"/>
    </w:lvlOverride>
  </w:num>
  <w:num w:numId="14">
    <w:abstractNumId w:val="29"/>
  </w:num>
  <w:num w:numId="15">
    <w:abstractNumId w:val="2"/>
  </w:num>
  <w:num w:numId="16">
    <w:abstractNumId w:val="14"/>
  </w:num>
  <w:num w:numId="17">
    <w:abstractNumId w:val="13"/>
  </w:num>
  <w:num w:numId="18">
    <w:abstractNumId w:val="36"/>
  </w:num>
  <w:num w:numId="19">
    <w:abstractNumId w:val="7"/>
  </w:num>
  <w:num w:numId="20">
    <w:abstractNumId w:val="32"/>
  </w:num>
  <w:num w:numId="21">
    <w:abstractNumId w:val="31"/>
  </w:num>
  <w:num w:numId="22">
    <w:abstractNumId w:val="5"/>
  </w:num>
  <w:num w:numId="23">
    <w:abstractNumId w:val="23"/>
  </w:num>
  <w:num w:numId="24">
    <w:abstractNumId w:val="27"/>
  </w:num>
  <w:num w:numId="25">
    <w:abstractNumId w:val="0"/>
  </w:num>
  <w:num w:numId="26">
    <w:abstractNumId w:val="15"/>
  </w:num>
  <w:num w:numId="27">
    <w:abstractNumId w:val="26"/>
  </w:num>
  <w:num w:numId="28">
    <w:abstractNumId w:val="30"/>
  </w:num>
  <w:num w:numId="29">
    <w:abstractNumId w:val="10"/>
  </w:num>
  <w:num w:numId="30">
    <w:abstractNumId w:val="18"/>
  </w:num>
  <w:num w:numId="31">
    <w:abstractNumId w:val="21"/>
  </w:num>
  <w:num w:numId="32">
    <w:abstractNumId w:val="1"/>
  </w:num>
  <w:num w:numId="33">
    <w:abstractNumId w:val="37"/>
  </w:num>
  <w:num w:numId="34">
    <w:abstractNumId w:val="22"/>
  </w:num>
  <w:num w:numId="35">
    <w:abstractNumId w:val="3"/>
  </w:num>
  <w:num w:numId="36">
    <w:abstractNumId w:val="17"/>
  </w:num>
  <w:num w:numId="37">
    <w:abstractNumId w:val="20"/>
  </w:num>
  <w:num w:numId="38">
    <w:abstractNumId w:val="3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606F"/>
    <w:rsid w:val="0000724B"/>
    <w:rsid w:val="00014F63"/>
    <w:rsid w:val="000165A5"/>
    <w:rsid w:val="0002225F"/>
    <w:rsid w:val="0002373D"/>
    <w:rsid w:val="00025FE7"/>
    <w:rsid w:val="0003252A"/>
    <w:rsid w:val="00034331"/>
    <w:rsid w:val="00036596"/>
    <w:rsid w:val="000465C4"/>
    <w:rsid w:val="00057399"/>
    <w:rsid w:val="000576DC"/>
    <w:rsid w:val="00057C7F"/>
    <w:rsid w:val="0007022E"/>
    <w:rsid w:val="00070FE9"/>
    <w:rsid w:val="000719EC"/>
    <w:rsid w:val="00082647"/>
    <w:rsid w:val="00083E57"/>
    <w:rsid w:val="00093BFD"/>
    <w:rsid w:val="000A5632"/>
    <w:rsid w:val="000B5D93"/>
    <w:rsid w:val="000B728B"/>
    <w:rsid w:val="000C6615"/>
    <w:rsid w:val="000C6DE6"/>
    <w:rsid w:val="000D208C"/>
    <w:rsid w:val="000F5EA5"/>
    <w:rsid w:val="000F75B7"/>
    <w:rsid w:val="00107F75"/>
    <w:rsid w:val="0011494F"/>
    <w:rsid w:val="0012183B"/>
    <w:rsid w:val="00121B54"/>
    <w:rsid w:val="00122FE5"/>
    <w:rsid w:val="00141C5B"/>
    <w:rsid w:val="001442A6"/>
    <w:rsid w:val="00145671"/>
    <w:rsid w:val="00146689"/>
    <w:rsid w:val="00151D2B"/>
    <w:rsid w:val="00155A3F"/>
    <w:rsid w:val="001563DA"/>
    <w:rsid w:val="00156C34"/>
    <w:rsid w:val="00160A30"/>
    <w:rsid w:val="00163139"/>
    <w:rsid w:val="001707EC"/>
    <w:rsid w:val="00171CE5"/>
    <w:rsid w:val="00174CA1"/>
    <w:rsid w:val="00176D90"/>
    <w:rsid w:val="00180E5F"/>
    <w:rsid w:val="00182442"/>
    <w:rsid w:val="00184DE7"/>
    <w:rsid w:val="001947CD"/>
    <w:rsid w:val="001952F9"/>
    <w:rsid w:val="001B24B5"/>
    <w:rsid w:val="001B534C"/>
    <w:rsid w:val="001B7798"/>
    <w:rsid w:val="001C14B7"/>
    <w:rsid w:val="001C1713"/>
    <w:rsid w:val="001C37DF"/>
    <w:rsid w:val="001C7076"/>
    <w:rsid w:val="001D5B33"/>
    <w:rsid w:val="001E0FF2"/>
    <w:rsid w:val="001E18AA"/>
    <w:rsid w:val="001E60CB"/>
    <w:rsid w:val="00200CD8"/>
    <w:rsid w:val="00203F9D"/>
    <w:rsid w:val="00204362"/>
    <w:rsid w:val="00204D9A"/>
    <w:rsid w:val="00204E05"/>
    <w:rsid w:val="00213558"/>
    <w:rsid w:val="0021750B"/>
    <w:rsid w:val="00221B02"/>
    <w:rsid w:val="002265AB"/>
    <w:rsid w:val="00230395"/>
    <w:rsid w:val="002318A5"/>
    <w:rsid w:val="00231F50"/>
    <w:rsid w:val="00236420"/>
    <w:rsid w:val="0025243F"/>
    <w:rsid w:val="00255525"/>
    <w:rsid w:val="002748BB"/>
    <w:rsid w:val="00274C37"/>
    <w:rsid w:val="00274FF9"/>
    <w:rsid w:val="00284577"/>
    <w:rsid w:val="00285245"/>
    <w:rsid w:val="0028633C"/>
    <w:rsid w:val="00286C01"/>
    <w:rsid w:val="00291A5A"/>
    <w:rsid w:val="002978F6"/>
    <w:rsid w:val="00297F42"/>
    <w:rsid w:val="002A11C0"/>
    <w:rsid w:val="002B2B54"/>
    <w:rsid w:val="002B3C33"/>
    <w:rsid w:val="002B4560"/>
    <w:rsid w:val="002B5396"/>
    <w:rsid w:val="002B5F89"/>
    <w:rsid w:val="002B6138"/>
    <w:rsid w:val="002C04B8"/>
    <w:rsid w:val="002C06F0"/>
    <w:rsid w:val="002C08F1"/>
    <w:rsid w:val="002C177C"/>
    <w:rsid w:val="002C384D"/>
    <w:rsid w:val="002C49BA"/>
    <w:rsid w:val="002D3B77"/>
    <w:rsid w:val="002D69E2"/>
    <w:rsid w:val="002F7959"/>
    <w:rsid w:val="00302107"/>
    <w:rsid w:val="00303AF8"/>
    <w:rsid w:val="00304473"/>
    <w:rsid w:val="003068DD"/>
    <w:rsid w:val="003121B6"/>
    <w:rsid w:val="00320082"/>
    <w:rsid w:val="003229C3"/>
    <w:rsid w:val="00324CD8"/>
    <w:rsid w:val="00326BD0"/>
    <w:rsid w:val="00331484"/>
    <w:rsid w:val="003317AB"/>
    <w:rsid w:val="003330FB"/>
    <w:rsid w:val="0033728D"/>
    <w:rsid w:val="0034252A"/>
    <w:rsid w:val="00346985"/>
    <w:rsid w:val="00346D17"/>
    <w:rsid w:val="00352EF6"/>
    <w:rsid w:val="00365CD2"/>
    <w:rsid w:val="003667B4"/>
    <w:rsid w:val="00371437"/>
    <w:rsid w:val="00373858"/>
    <w:rsid w:val="00374679"/>
    <w:rsid w:val="003802DE"/>
    <w:rsid w:val="00393DAC"/>
    <w:rsid w:val="0039791E"/>
    <w:rsid w:val="003A0F0F"/>
    <w:rsid w:val="003A2AC9"/>
    <w:rsid w:val="003A442E"/>
    <w:rsid w:val="003A775F"/>
    <w:rsid w:val="003A7A28"/>
    <w:rsid w:val="003C089B"/>
    <w:rsid w:val="003C17FC"/>
    <w:rsid w:val="003C28D6"/>
    <w:rsid w:val="003C5CC8"/>
    <w:rsid w:val="003D0206"/>
    <w:rsid w:val="003D249D"/>
    <w:rsid w:val="003E343F"/>
    <w:rsid w:val="003E3EA1"/>
    <w:rsid w:val="003E6C23"/>
    <w:rsid w:val="003F5585"/>
    <w:rsid w:val="00404F55"/>
    <w:rsid w:val="0040551A"/>
    <w:rsid w:val="004207DC"/>
    <w:rsid w:val="00424C7B"/>
    <w:rsid w:val="00441B57"/>
    <w:rsid w:val="00442137"/>
    <w:rsid w:val="00442612"/>
    <w:rsid w:val="00445051"/>
    <w:rsid w:val="00451C39"/>
    <w:rsid w:val="004544C8"/>
    <w:rsid w:val="00457FE6"/>
    <w:rsid w:val="00460115"/>
    <w:rsid w:val="00461D6A"/>
    <w:rsid w:val="00463432"/>
    <w:rsid w:val="00474F72"/>
    <w:rsid w:val="004771DA"/>
    <w:rsid w:val="00477E25"/>
    <w:rsid w:val="00482EA1"/>
    <w:rsid w:val="00482F73"/>
    <w:rsid w:val="004849AE"/>
    <w:rsid w:val="00486452"/>
    <w:rsid w:val="00486EE4"/>
    <w:rsid w:val="004870EE"/>
    <w:rsid w:val="00487B28"/>
    <w:rsid w:val="00492658"/>
    <w:rsid w:val="00496FD2"/>
    <w:rsid w:val="004A09F8"/>
    <w:rsid w:val="004A1556"/>
    <w:rsid w:val="004A323F"/>
    <w:rsid w:val="004A4B69"/>
    <w:rsid w:val="004B1AC3"/>
    <w:rsid w:val="004B4F6A"/>
    <w:rsid w:val="004C067A"/>
    <w:rsid w:val="004C1F8F"/>
    <w:rsid w:val="004D3056"/>
    <w:rsid w:val="004D3AE7"/>
    <w:rsid w:val="004E1B06"/>
    <w:rsid w:val="004F104D"/>
    <w:rsid w:val="004F11E2"/>
    <w:rsid w:val="00501F82"/>
    <w:rsid w:val="0050415A"/>
    <w:rsid w:val="00510993"/>
    <w:rsid w:val="005179B4"/>
    <w:rsid w:val="005211DB"/>
    <w:rsid w:val="00526EDC"/>
    <w:rsid w:val="00551845"/>
    <w:rsid w:val="00556F14"/>
    <w:rsid w:val="0056072C"/>
    <w:rsid w:val="005608C1"/>
    <w:rsid w:val="0057432E"/>
    <w:rsid w:val="00585341"/>
    <w:rsid w:val="00591C28"/>
    <w:rsid w:val="00596086"/>
    <w:rsid w:val="005A2BE8"/>
    <w:rsid w:val="005A4D94"/>
    <w:rsid w:val="005B4784"/>
    <w:rsid w:val="005C040E"/>
    <w:rsid w:val="005C26C4"/>
    <w:rsid w:val="005C3D0D"/>
    <w:rsid w:val="005C3E75"/>
    <w:rsid w:val="005C533A"/>
    <w:rsid w:val="005D0578"/>
    <w:rsid w:val="005E1BD1"/>
    <w:rsid w:val="005E5868"/>
    <w:rsid w:val="005E698F"/>
    <w:rsid w:val="005E7F63"/>
    <w:rsid w:val="005F42FA"/>
    <w:rsid w:val="005F63AD"/>
    <w:rsid w:val="0060205B"/>
    <w:rsid w:val="00604375"/>
    <w:rsid w:val="006045C4"/>
    <w:rsid w:val="00606CB4"/>
    <w:rsid w:val="006221F8"/>
    <w:rsid w:val="00622A75"/>
    <w:rsid w:val="00625119"/>
    <w:rsid w:val="00632B48"/>
    <w:rsid w:val="00634188"/>
    <w:rsid w:val="00634381"/>
    <w:rsid w:val="00641131"/>
    <w:rsid w:val="0064281D"/>
    <w:rsid w:val="00642FCC"/>
    <w:rsid w:val="0064640D"/>
    <w:rsid w:val="006477F0"/>
    <w:rsid w:val="00652895"/>
    <w:rsid w:val="006532D6"/>
    <w:rsid w:val="006571ED"/>
    <w:rsid w:val="006626CA"/>
    <w:rsid w:val="00663903"/>
    <w:rsid w:val="00674506"/>
    <w:rsid w:val="006762E0"/>
    <w:rsid w:val="0067736D"/>
    <w:rsid w:val="006803CD"/>
    <w:rsid w:val="00690293"/>
    <w:rsid w:val="0069066C"/>
    <w:rsid w:val="0069719B"/>
    <w:rsid w:val="006A11BF"/>
    <w:rsid w:val="006A4A02"/>
    <w:rsid w:val="006B6DE2"/>
    <w:rsid w:val="006C0D9C"/>
    <w:rsid w:val="006D69C4"/>
    <w:rsid w:val="006E5C82"/>
    <w:rsid w:val="006E72F1"/>
    <w:rsid w:val="006F255D"/>
    <w:rsid w:val="006F6BC2"/>
    <w:rsid w:val="00702E52"/>
    <w:rsid w:val="00705451"/>
    <w:rsid w:val="00714EBA"/>
    <w:rsid w:val="00722201"/>
    <w:rsid w:val="00723481"/>
    <w:rsid w:val="00724B5B"/>
    <w:rsid w:val="0073208B"/>
    <w:rsid w:val="00733BEF"/>
    <w:rsid w:val="0074098A"/>
    <w:rsid w:val="00740E71"/>
    <w:rsid w:val="00760009"/>
    <w:rsid w:val="0076431E"/>
    <w:rsid w:val="0077797D"/>
    <w:rsid w:val="007852CE"/>
    <w:rsid w:val="0078659D"/>
    <w:rsid w:val="0079012C"/>
    <w:rsid w:val="007A3276"/>
    <w:rsid w:val="007A77B8"/>
    <w:rsid w:val="007A7B31"/>
    <w:rsid w:val="007C0AB0"/>
    <w:rsid w:val="007C0ABF"/>
    <w:rsid w:val="007D5110"/>
    <w:rsid w:val="007D6374"/>
    <w:rsid w:val="007E0B08"/>
    <w:rsid w:val="007E55BB"/>
    <w:rsid w:val="007F0494"/>
    <w:rsid w:val="007F7174"/>
    <w:rsid w:val="0080289A"/>
    <w:rsid w:val="00803E79"/>
    <w:rsid w:val="0080523B"/>
    <w:rsid w:val="00820E4A"/>
    <w:rsid w:val="00822000"/>
    <w:rsid w:val="00824E66"/>
    <w:rsid w:val="00833BB4"/>
    <w:rsid w:val="0083531C"/>
    <w:rsid w:val="00844F3C"/>
    <w:rsid w:val="00845527"/>
    <w:rsid w:val="0084772A"/>
    <w:rsid w:val="008479AA"/>
    <w:rsid w:val="00855284"/>
    <w:rsid w:val="008619E4"/>
    <w:rsid w:val="00863444"/>
    <w:rsid w:val="00863C19"/>
    <w:rsid w:val="00874C5E"/>
    <w:rsid w:val="00876E20"/>
    <w:rsid w:val="00884724"/>
    <w:rsid w:val="00886357"/>
    <w:rsid w:val="00891FE3"/>
    <w:rsid w:val="00895CD7"/>
    <w:rsid w:val="008A133D"/>
    <w:rsid w:val="008A2193"/>
    <w:rsid w:val="008A5F96"/>
    <w:rsid w:val="008A5FF0"/>
    <w:rsid w:val="008A6A9C"/>
    <w:rsid w:val="008B10C8"/>
    <w:rsid w:val="008B278F"/>
    <w:rsid w:val="008B354F"/>
    <w:rsid w:val="008C28F3"/>
    <w:rsid w:val="008C7931"/>
    <w:rsid w:val="008C7F76"/>
    <w:rsid w:val="008D3E30"/>
    <w:rsid w:val="008E0493"/>
    <w:rsid w:val="008E260A"/>
    <w:rsid w:val="008E4F0B"/>
    <w:rsid w:val="008F041B"/>
    <w:rsid w:val="008F2960"/>
    <w:rsid w:val="00900F86"/>
    <w:rsid w:val="00932786"/>
    <w:rsid w:val="00932BDA"/>
    <w:rsid w:val="009343D5"/>
    <w:rsid w:val="00934A6E"/>
    <w:rsid w:val="00937D06"/>
    <w:rsid w:val="0094544E"/>
    <w:rsid w:val="00952FC0"/>
    <w:rsid w:val="00955222"/>
    <w:rsid w:val="009640E8"/>
    <w:rsid w:val="00980491"/>
    <w:rsid w:val="00991CCA"/>
    <w:rsid w:val="009931A3"/>
    <w:rsid w:val="009954D4"/>
    <w:rsid w:val="009A08B2"/>
    <w:rsid w:val="009A4CBD"/>
    <w:rsid w:val="009A761A"/>
    <w:rsid w:val="009B083D"/>
    <w:rsid w:val="009B3D56"/>
    <w:rsid w:val="009C3D29"/>
    <w:rsid w:val="009C51B5"/>
    <w:rsid w:val="009D5E0D"/>
    <w:rsid w:val="009D6486"/>
    <w:rsid w:val="009E0B15"/>
    <w:rsid w:val="009E41E7"/>
    <w:rsid w:val="009E4F57"/>
    <w:rsid w:val="00A04857"/>
    <w:rsid w:val="00A06D8D"/>
    <w:rsid w:val="00A16700"/>
    <w:rsid w:val="00A24831"/>
    <w:rsid w:val="00A44845"/>
    <w:rsid w:val="00A57400"/>
    <w:rsid w:val="00A63715"/>
    <w:rsid w:val="00A646A0"/>
    <w:rsid w:val="00A66A09"/>
    <w:rsid w:val="00A67C37"/>
    <w:rsid w:val="00A67D7B"/>
    <w:rsid w:val="00A709ED"/>
    <w:rsid w:val="00A77548"/>
    <w:rsid w:val="00A810F1"/>
    <w:rsid w:val="00A83A55"/>
    <w:rsid w:val="00A87D82"/>
    <w:rsid w:val="00A930DE"/>
    <w:rsid w:val="00A93401"/>
    <w:rsid w:val="00A951E0"/>
    <w:rsid w:val="00AA148C"/>
    <w:rsid w:val="00AA6E68"/>
    <w:rsid w:val="00AB0932"/>
    <w:rsid w:val="00AB1542"/>
    <w:rsid w:val="00AB3D50"/>
    <w:rsid w:val="00AB623E"/>
    <w:rsid w:val="00AC1136"/>
    <w:rsid w:val="00AC4029"/>
    <w:rsid w:val="00AD1CCB"/>
    <w:rsid w:val="00AE2F14"/>
    <w:rsid w:val="00AF26C9"/>
    <w:rsid w:val="00AF3D0A"/>
    <w:rsid w:val="00AF3E9B"/>
    <w:rsid w:val="00AF61AF"/>
    <w:rsid w:val="00B0285F"/>
    <w:rsid w:val="00B1234C"/>
    <w:rsid w:val="00B15417"/>
    <w:rsid w:val="00B159F5"/>
    <w:rsid w:val="00B2017F"/>
    <w:rsid w:val="00B21BB1"/>
    <w:rsid w:val="00B32019"/>
    <w:rsid w:val="00B32AB8"/>
    <w:rsid w:val="00B362EB"/>
    <w:rsid w:val="00B37C37"/>
    <w:rsid w:val="00B42FA1"/>
    <w:rsid w:val="00B504A6"/>
    <w:rsid w:val="00B50E78"/>
    <w:rsid w:val="00B55EB2"/>
    <w:rsid w:val="00B61B03"/>
    <w:rsid w:val="00B6719E"/>
    <w:rsid w:val="00B675B1"/>
    <w:rsid w:val="00B7197B"/>
    <w:rsid w:val="00B8276E"/>
    <w:rsid w:val="00B953E3"/>
    <w:rsid w:val="00BB4001"/>
    <w:rsid w:val="00BB4843"/>
    <w:rsid w:val="00BB77E8"/>
    <w:rsid w:val="00BC268B"/>
    <w:rsid w:val="00BC3C7A"/>
    <w:rsid w:val="00BC3E21"/>
    <w:rsid w:val="00BC51C7"/>
    <w:rsid w:val="00BD3346"/>
    <w:rsid w:val="00BE79EB"/>
    <w:rsid w:val="00C0074F"/>
    <w:rsid w:val="00C01DC1"/>
    <w:rsid w:val="00C0286A"/>
    <w:rsid w:val="00C0400C"/>
    <w:rsid w:val="00C04EFC"/>
    <w:rsid w:val="00C053B0"/>
    <w:rsid w:val="00C06624"/>
    <w:rsid w:val="00C1083F"/>
    <w:rsid w:val="00C1206C"/>
    <w:rsid w:val="00C146B2"/>
    <w:rsid w:val="00C15724"/>
    <w:rsid w:val="00C21154"/>
    <w:rsid w:val="00C22D1C"/>
    <w:rsid w:val="00C23F14"/>
    <w:rsid w:val="00C24C75"/>
    <w:rsid w:val="00C302E0"/>
    <w:rsid w:val="00C3292A"/>
    <w:rsid w:val="00C363D4"/>
    <w:rsid w:val="00C410A2"/>
    <w:rsid w:val="00C41AAB"/>
    <w:rsid w:val="00C63D44"/>
    <w:rsid w:val="00C73A59"/>
    <w:rsid w:val="00C80AC5"/>
    <w:rsid w:val="00C81922"/>
    <w:rsid w:val="00C85696"/>
    <w:rsid w:val="00C92BF8"/>
    <w:rsid w:val="00C9559F"/>
    <w:rsid w:val="00CA57CB"/>
    <w:rsid w:val="00CA701D"/>
    <w:rsid w:val="00CB3027"/>
    <w:rsid w:val="00CB33A4"/>
    <w:rsid w:val="00CC196E"/>
    <w:rsid w:val="00CC21DF"/>
    <w:rsid w:val="00CC3446"/>
    <w:rsid w:val="00CC6DF8"/>
    <w:rsid w:val="00CD73DE"/>
    <w:rsid w:val="00CD7FF3"/>
    <w:rsid w:val="00CE10D3"/>
    <w:rsid w:val="00CE6BEE"/>
    <w:rsid w:val="00CF4451"/>
    <w:rsid w:val="00CF5985"/>
    <w:rsid w:val="00CF5C20"/>
    <w:rsid w:val="00D0253A"/>
    <w:rsid w:val="00D04B31"/>
    <w:rsid w:val="00D05E91"/>
    <w:rsid w:val="00D1664C"/>
    <w:rsid w:val="00D2211A"/>
    <w:rsid w:val="00D23D35"/>
    <w:rsid w:val="00D24948"/>
    <w:rsid w:val="00D27F55"/>
    <w:rsid w:val="00D33570"/>
    <w:rsid w:val="00D3630F"/>
    <w:rsid w:val="00D44A57"/>
    <w:rsid w:val="00D528AA"/>
    <w:rsid w:val="00D56797"/>
    <w:rsid w:val="00D64A25"/>
    <w:rsid w:val="00D73EC3"/>
    <w:rsid w:val="00D77E91"/>
    <w:rsid w:val="00D81522"/>
    <w:rsid w:val="00D85674"/>
    <w:rsid w:val="00D96A7C"/>
    <w:rsid w:val="00DA1946"/>
    <w:rsid w:val="00DA211E"/>
    <w:rsid w:val="00DA4909"/>
    <w:rsid w:val="00DA5275"/>
    <w:rsid w:val="00DA6171"/>
    <w:rsid w:val="00DA67EE"/>
    <w:rsid w:val="00DB26CA"/>
    <w:rsid w:val="00DB68B6"/>
    <w:rsid w:val="00DC0D7E"/>
    <w:rsid w:val="00DC0DD9"/>
    <w:rsid w:val="00DC13E3"/>
    <w:rsid w:val="00DC7E7A"/>
    <w:rsid w:val="00DD1486"/>
    <w:rsid w:val="00DD760C"/>
    <w:rsid w:val="00DE2268"/>
    <w:rsid w:val="00DF0CF6"/>
    <w:rsid w:val="00DF20B4"/>
    <w:rsid w:val="00E00972"/>
    <w:rsid w:val="00E058A2"/>
    <w:rsid w:val="00E11701"/>
    <w:rsid w:val="00E17B7C"/>
    <w:rsid w:val="00E17BAA"/>
    <w:rsid w:val="00E20FDB"/>
    <w:rsid w:val="00E22E54"/>
    <w:rsid w:val="00E42C6C"/>
    <w:rsid w:val="00E478A4"/>
    <w:rsid w:val="00E60B8D"/>
    <w:rsid w:val="00E616B5"/>
    <w:rsid w:val="00E65C9F"/>
    <w:rsid w:val="00E71619"/>
    <w:rsid w:val="00E76AB2"/>
    <w:rsid w:val="00E80D3E"/>
    <w:rsid w:val="00E86085"/>
    <w:rsid w:val="00E92956"/>
    <w:rsid w:val="00E954B4"/>
    <w:rsid w:val="00E9553F"/>
    <w:rsid w:val="00EA1243"/>
    <w:rsid w:val="00EA2AAA"/>
    <w:rsid w:val="00EA31F1"/>
    <w:rsid w:val="00EA6E5D"/>
    <w:rsid w:val="00EB036E"/>
    <w:rsid w:val="00EB0EA0"/>
    <w:rsid w:val="00EB4303"/>
    <w:rsid w:val="00EC190D"/>
    <w:rsid w:val="00EC1BD9"/>
    <w:rsid w:val="00EC29D7"/>
    <w:rsid w:val="00ED50F7"/>
    <w:rsid w:val="00ED67B5"/>
    <w:rsid w:val="00EF32DE"/>
    <w:rsid w:val="00F018D2"/>
    <w:rsid w:val="00F02008"/>
    <w:rsid w:val="00F0533A"/>
    <w:rsid w:val="00F11638"/>
    <w:rsid w:val="00F11683"/>
    <w:rsid w:val="00F2208F"/>
    <w:rsid w:val="00F31DE6"/>
    <w:rsid w:val="00F31F10"/>
    <w:rsid w:val="00F33CAB"/>
    <w:rsid w:val="00F428D6"/>
    <w:rsid w:val="00F45CCF"/>
    <w:rsid w:val="00F46A30"/>
    <w:rsid w:val="00F63713"/>
    <w:rsid w:val="00F66A88"/>
    <w:rsid w:val="00F7004E"/>
    <w:rsid w:val="00F70BB4"/>
    <w:rsid w:val="00F84553"/>
    <w:rsid w:val="00F94EDF"/>
    <w:rsid w:val="00FA3EE6"/>
    <w:rsid w:val="00FA54FC"/>
    <w:rsid w:val="00FA7EFA"/>
    <w:rsid w:val="00FB0D2C"/>
    <w:rsid w:val="00FB1F69"/>
    <w:rsid w:val="00FB61D8"/>
    <w:rsid w:val="00FD3F9E"/>
    <w:rsid w:val="00FD41E1"/>
    <w:rsid w:val="00FD5DF8"/>
    <w:rsid w:val="00FE118B"/>
    <w:rsid w:val="00FE3BDE"/>
    <w:rsid w:val="00FF75E8"/>
    <w:rsid w:val="030C9567"/>
    <w:rsid w:val="039960EC"/>
    <w:rsid w:val="0462A3A1"/>
    <w:rsid w:val="047ECE1D"/>
    <w:rsid w:val="04BE3566"/>
    <w:rsid w:val="058F0F47"/>
    <w:rsid w:val="05CB20B6"/>
    <w:rsid w:val="065DCFA3"/>
    <w:rsid w:val="066CA6BC"/>
    <w:rsid w:val="06E8036D"/>
    <w:rsid w:val="0804A982"/>
    <w:rsid w:val="08269CC3"/>
    <w:rsid w:val="0907EBAB"/>
    <w:rsid w:val="09263670"/>
    <w:rsid w:val="09A2820C"/>
    <w:rsid w:val="09F3E3E3"/>
    <w:rsid w:val="0A8C4F50"/>
    <w:rsid w:val="0A92439D"/>
    <w:rsid w:val="0C3BF628"/>
    <w:rsid w:val="0C9B2692"/>
    <w:rsid w:val="0CD81AA5"/>
    <w:rsid w:val="0CF79AFB"/>
    <w:rsid w:val="0D4900E9"/>
    <w:rsid w:val="0D4A1324"/>
    <w:rsid w:val="0D546419"/>
    <w:rsid w:val="0D96CB52"/>
    <w:rsid w:val="0DB1514B"/>
    <w:rsid w:val="0EDF911B"/>
    <w:rsid w:val="0F5FC073"/>
    <w:rsid w:val="0F6C628A"/>
    <w:rsid w:val="0FA12B8D"/>
    <w:rsid w:val="100078CE"/>
    <w:rsid w:val="1015AFB4"/>
    <w:rsid w:val="108F5DDF"/>
    <w:rsid w:val="10C771FA"/>
    <w:rsid w:val="10C90AFC"/>
    <w:rsid w:val="11BD779C"/>
    <w:rsid w:val="11C2399F"/>
    <w:rsid w:val="14060CD6"/>
    <w:rsid w:val="14333196"/>
    <w:rsid w:val="14E8F7C1"/>
    <w:rsid w:val="1652A179"/>
    <w:rsid w:val="16ECFFDC"/>
    <w:rsid w:val="1763C7FF"/>
    <w:rsid w:val="1772FC22"/>
    <w:rsid w:val="17B3C1AB"/>
    <w:rsid w:val="17B85576"/>
    <w:rsid w:val="183A233A"/>
    <w:rsid w:val="18671F74"/>
    <w:rsid w:val="19AEDEE3"/>
    <w:rsid w:val="1A9571BB"/>
    <w:rsid w:val="1AE21686"/>
    <w:rsid w:val="1B457C4F"/>
    <w:rsid w:val="1B4F8E25"/>
    <w:rsid w:val="1BE4FD9F"/>
    <w:rsid w:val="1C3BBE5D"/>
    <w:rsid w:val="1CDEC924"/>
    <w:rsid w:val="1CE3CBCB"/>
    <w:rsid w:val="1CF21DD8"/>
    <w:rsid w:val="1CFEF7F9"/>
    <w:rsid w:val="1E373E77"/>
    <w:rsid w:val="1F6783E9"/>
    <w:rsid w:val="1FA4BB76"/>
    <w:rsid w:val="2197C172"/>
    <w:rsid w:val="22367122"/>
    <w:rsid w:val="22C54F19"/>
    <w:rsid w:val="23726538"/>
    <w:rsid w:val="24006BE5"/>
    <w:rsid w:val="24A900CD"/>
    <w:rsid w:val="25234DE6"/>
    <w:rsid w:val="253A9DCD"/>
    <w:rsid w:val="267A56D4"/>
    <w:rsid w:val="269AD270"/>
    <w:rsid w:val="271C074A"/>
    <w:rsid w:val="273AA905"/>
    <w:rsid w:val="277E7104"/>
    <w:rsid w:val="27FD0DC0"/>
    <w:rsid w:val="29B77883"/>
    <w:rsid w:val="2A0006A5"/>
    <w:rsid w:val="2A11CD96"/>
    <w:rsid w:val="2A171CA9"/>
    <w:rsid w:val="2A39F271"/>
    <w:rsid w:val="2AA1714A"/>
    <w:rsid w:val="2B2407F9"/>
    <w:rsid w:val="2B56BE01"/>
    <w:rsid w:val="2BAD9DF7"/>
    <w:rsid w:val="2C739836"/>
    <w:rsid w:val="2CE8B4BE"/>
    <w:rsid w:val="2D0D756E"/>
    <w:rsid w:val="2D188041"/>
    <w:rsid w:val="2D3FCDE2"/>
    <w:rsid w:val="2E0DD5E9"/>
    <w:rsid w:val="2EA34711"/>
    <w:rsid w:val="2ED7462A"/>
    <w:rsid w:val="2F0B4137"/>
    <w:rsid w:val="2FC06305"/>
    <w:rsid w:val="3080412B"/>
    <w:rsid w:val="31141B1B"/>
    <w:rsid w:val="3123A30D"/>
    <w:rsid w:val="321B95C6"/>
    <w:rsid w:val="339EF93C"/>
    <w:rsid w:val="34F3C6A3"/>
    <w:rsid w:val="35682F1F"/>
    <w:rsid w:val="35A8931B"/>
    <w:rsid w:val="367156DF"/>
    <w:rsid w:val="3840CEFA"/>
    <w:rsid w:val="3945A80D"/>
    <w:rsid w:val="39D3C11C"/>
    <w:rsid w:val="3ABAFE81"/>
    <w:rsid w:val="3BC4BAB4"/>
    <w:rsid w:val="3C41BC78"/>
    <w:rsid w:val="3CD8E39F"/>
    <w:rsid w:val="3CF45923"/>
    <w:rsid w:val="3DEF16EB"/>
    <w:rsid w:val="3DF29B7B"/>
    <w:rsid w:val="3F155104"/>
    <w:rsid w:val="401A2ABA"/>
    <w:rsid w:val="4075E34B"/>
    <w:rsid w:val="41500BEA"/>
    <w:rsid w:val="41B2F8C7"/>
    <w:rsid w:val="421DBB69"/>
    <w:rsid w:val="430FEB28"/>
    <w:rsid w:val="432EBE56"/>
    <w:rsid w:val="4447DD92"/>
    <w:rsid w:val="449CD7CC"/>
    <w:rsid w:val="44AE4968"/>
    <w:rsid w:val="44EB88FD"/>
    <w:rsid w:val="451C6318"/>
    <w:rsid w:val="458CF161"/>
    <w:rsid w:val="47548E7F"/>
    <w:rsid w:val="4775575E"/>
    <w:rsid w:val="4798DE9C"/>
    <w:rsid w:val="48305058"/>
    <w:rsid w:val="484978B5"/>
    <w:rsid w:val="4B400BC3"/>
    <w:rsid w:val="4C222D80"/>
    <w:rsid w:val="4CCA2741"/>
    <w:rsid w:val="4D47897A"/>
    <w:rsid w:val="4DA84314"/>
    <w:rsid w:val="4ED34032"/>
    <w:rsid w:val="4EF13FD1"/>
    <w:rsid w:val="4F16982A"/>
    <w:rsid w:val="4FE36EA7"/>
    <w:rsid w:val="504A7B94"/>
    <w:rsid w:val="504CE256"/>
    <w:rsid w:val="5058B4AE"/>
    <w:rsid w:val="50A96FFE"/>
    <w:rsid w:val="50C51DF3"/>
    <w:rsid w:val="51E16063"/>
    <w:rsid w:val="524235F5"/>
    <w:rsid w:val="52898C4D"/>
    <w:rsid w:val="53296DF1"/>
    <w:rsid w:val="5345D666"/>
    <w:rsid w:val="5376AA39"/>
    <w:rsid w:val="54EBEB49"/>
    <w:rsid w:val="55C95E1A"/>
    <w:rsid w:val="5655E8EC"/>
    <w:rsid w:val="56BE4E69"/>
    <w:rsid w:val="57452A66"/>
    <w:rsid w:val="58CFADE2"/>
    <w:rsid w:val="58E96DB7"/>
    <w:rsid w:val="58ECAC93"/>
    <w:rsid w:val="58F8CBFB"/>
    <w:rsid w:val="596ED9C4"/>
    <w:rsid w:val="59700519"/>
    <w:rsid w:val="5983627B"/>
    <w:rsid w:val="5A035765"/>
    <w:rsid w:val="5A367373"/>
    <w:rsid w:val="5B032C36"/>
    <w:rsid w:val="5B88A956"/>
    <w:rsid w:val="5BA82FDA"/>
    <w:rsid w:val="5D235ACF"/>
    <w:rsid w:val="5DAD7D28"/>
    <w:rsid w:val="5DBDD31E"/>
    <w:rsid w:val="5E6BF35F"/>
    <w:rsid w:val="5EAC4009"/>
    <w:rsid w:val="5EB1A3B8"/>
    <w:rsid w:val="5F5FE1A8"/>
    <w:rsid w:val="5FC6AD9B"/>
    <w:rsid w:val="60836687"/>
    <w:rsid w:val="6249226C"/>
    <w:rsid w:val="62FA0C9E"/>
    <w:rsid w:val="6402010E"/>
    <w:rsid w:val="643595E8"/>
    <w:rsid w:val="645D3C6B"/>
    <w:rsid w:val="647CE9BC"/>
    <w:rsid w:val="64E34FA2"/>
    <w:rsid w:val="6570ACAF"/>
    <w:rsid w:val="65F9B9EB"/>
    <w:rsid w:val="66522186"/>
    <w:rsid w:val="66820EE8"/>
    <w:rsid w:val="66868B41"/>
    <w:rsid w:val="66EFEA5F"/>
    <w:rsid w:val="6739A1D0"/>
    <w:rsid w:val="68A05804"/>
    <w:rsid w:val="6940681D"/>
    <w:rsid w:val="697A2371"/>
    <w:rsid w:val="69A9D496"/>
    <w:rsid w:val="6A27A848"/>
    <w:rsid w:val="6AA610F4"/>
    <w:rsid w:val="6ACA88A0"/>
    <w:rsid w:val="6B0E745B"/>
    <w:rsid w:val="6B709766"/>
    <w:rsid w:val="6BADB1EB"/>
    <w:rsid w:val="6C9EB06C"/>
    <w:rsid w:val="6E14987E"/>
    <w:rsid w:val="6EFD8F88"/>
    <w:rsid w:val="6F285992"/>
    <w:rsid w:val="6FBA57A1"/>
    <w:rsid w:val="70C429F3"/>
    <w:rsid w:val="70D6DADC"/>
    <w:rsid w:val="70FAE1A9"/>
    <w:rsid w:val="7124B947"/>
    <w:rsid w:val="716134C2"/>
    <w:rsid w:val="71C56429"/>
    <w:rsid w:val="71F23425"/>
    <w:rsid w:val="7221190A"/>
    <w:rsid w:val="7238D39A"/>
    <w:rsid w:val="727C5477"/>
    <w:rsid w:val="732C4F6B"/>
    <w:rsid w:val="7333A396"/>
    <w:rsid w:val="7333ED7A"/>
    <w:rsid w:val="73B73837"/>
    <w:rsid w:val="73E14D25"/>
    <w:rsid w:val="7496830E"/>
    <w:rsid w:val="74AEF76F"/>
    <w:rsid w:val="75428AE2"/>
    <w:rsid w:val="757D1D86"/>
    <w:rsid w:val="75C067BA"/>
    <w:rsid w:val="76E8A657"/>
    <w:rsid w:val="7722A0DA"/>
    <w:rsid w:val="777FE39A"/>
    <w:rsid w:val="78502708"/>
    <w:rsid w:val="78669991"/>
    <w:rsid w:val="789D2136"/>
    <w:rsid w:val="796FCCF5"/>
    <w:rsid w:val="79A72A12"/>
    <w:rsid w:val="79B17475"/>
    <w:rsid w:val="79FA469A"/>
    <w:rsid w:val="7AA9CAF7"/>
    <w:rsid w:val="7ACCF4C3"/>
    <w:rsid w:val="7AFB0305"/>
    <w:rsid w:val="7BB74157"/>
    <w:rsid w:val="7BF4EC29"/>
    <w:rsid w:val="7C7C7E9E"/>
    <w:rsid w:val="7CB6D78E"/>
    <w:rsid w:val="7D65F62B"/>
    <w:rsid w:val="7E32E2BA"/>
    <w:rsid w:val="7E48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0495D53"/>
  <w15:docId w15:val="{47D2D373-9FE3-459E-BA71-2E757274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E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7432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5"/>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24C7B"/>
    <w:pPr>
      <w:spacing w:after="100"/>
    </w:p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7432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91FB1D3B40C947AE4AD261E1875648" ma:contentTypeVersion="12" ma:contentTypeDescription="Vytvoří nový dokument" ma:contentTypeScope="" ma:versionID="3a2022ce53ebc90c5058534352c1e993">
  <xsd:schema xmlns:xsd="http://www.w3.org/2001/XMLSchema" xmlns:xs="http://www.w3.org/2001/XMLSchema" xmlns:p="http://schemas.microsoft.com/office/2006/metadata/properties" xmlns:ns2="dea3e7c7-54f6-497e-bc92-d23a874966f7" xmlns:ns3="4946ac28-2d0e-412e-a179-72d33c96b47c" targetNamespace="http://schemas.microsoft.com/office/2006/metadata/properties" ma:root="true" ma:fieldsID="ef8cf78d3dbe1c53bc766adff698ebca" ns2:_="" ns3:_="">
    <xsd:import namespace="dea3e7c7-54f6-497e-bc92-d23a874966f7"/>
    <xsd:import namespace="4946ac28-2d0e-412e-a179-72d33c96b4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e7c7-54f6-497e-bc92-d23a874966f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4513814b-bb99-4be8-aba2-40f49135350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6ac28-2d0e-412e-a179-72d33c96b4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c04d86-4f79-4ca6-addf-230b0dd93167}" ma:internalName="TaxCatchAll" ma:showField="CatchAllData" ma:web="4946ac28-2d0e-412e-a179-72d33c96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46ac28-2d0e-412e-a179-72d33c96b47c" xsi:nil="true"/>
    <lcf76f155ced4ddcb4097134ff3c332f xmlns="dea3e7c7-54f6-497e-bc92-d23a874966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E206E9-A974-4E1B-8DF9-E5A45BA71450}"/>
</file>

<file path=customXml/itemProps2.xml><?xml version="1.0" encoding="utf-8"?>
<ds:datastoreItem xmlns:ds="http://schemas.openxmlformats.org/officeDocument/2006/customXml" ds:itemID="{48EE9386-81AF-4F36-A1C5-7A0B6BB8CF89}">
  <ds:schemaRefs>
    <ds:schemaRef ds:uri="http://schemas.openxmlformats.org/officeDocument/2006/bibliography"/>
  </ds:schemaRefs>
</ds:datastoreItem>
</file>

<file path=customXml/itemProps3.xml><?xml version="1.0" encoding="utf-8"?>
<ds:datastoreItem xmlns:ds="http://schemas.openxmlformats.org/officeDocument/2006/customXml" ds:itemID="{1BB35773-6BAE-4F66-AA63-30A0A5E874F7}">
  <ds:schemaRefs>
    <ds:schemaRef ds:uri="http://schemas.microsoft.com/sharepoint/v3/contenttype/forms"/>
  </ds:schemaRefs>
</ds:datastoreItem>
</file>

<file path=customXml/itemProps4.xml><?xml version="1.0" encoding="utf-8"?>
<ds:datastoreItem xmlns:ds="http://schemas.openxmlformats.org/officeDocument/2006/customXml" ds:itemID="{A3BC6216-12FF-45BF-AB63-D4366A43A7CC}">
  <ds:schemaRefs>
    <ds:schemaRef ds:uri="http://schemas.openxmlformats.org/package/2006/metadata/core-properties"/>
    <ds:schemaRef ds:uri="http://purl.org/dc/terms/"/>
    <ds:schemaRef ds:uri="http://www.w3.org/XML/1998/namespace"/>
    <ds:schemaRef ds:uri="http://purl.org/dc/dcmitype/"/>
    <ds:schemaRef ds:uri="96f83003-48fd-4f52-836f-d78a4dd9c06d"/>
    <ds:schemaRef ds:uri="http://purl.org/dc/elements/1.1/"/>
    <ds:schemaRef ds:uri="http://schemas.microsoft.com/office/2006/metadata/properties"/>
    <ds:schemaRef ds:uri="http://schemas.microsoft.com/office/2006/documentManagement/types"/>
    <ds:schemaRef ds:uri="http://schemas.microsoft.com/office/infopath/2007/PartnerControls"/>
    <ds:schemaRef ds:uri="38a97ebd-7b55-4e0a-b11e-b1f20907ee6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2567</Words>
  <Characters>15146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datairop@mmr.cz</dc:creator>
  <cp:lastModifiedBy>Bílý Pavel</cp:lastModifiedBy>
  <cp:revision>22</cp:revision>
  <cp:lastPrinted>2022-10-11T05:00:00Z</cp:lastPrinted>
  <dcterms:created xsi:type="dcterms:W3CDTF">2022-10-21T12:20:00Z</dcterms:created>
  <dcterms:modified xsi:type="dcterms:W3CDTF">2023-02-17T15:44:00Z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